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22"/>
      </w:tblGrid>
      <w:tr w:rsidR="00366E81" w:rsidRPr="00366E81" w:rsidTr="00A254F1">
        <w:tc>
          <w:tcPr>
            <w:tcW w:w="4926" w:type="dxa"/>
          </w:tcPr>
          <w:p w:rsidR="00BD14C8" w:rsidRPr="00663AD5" w:rsidRDefault="00663AD5" w:rsidP="00E96F81">
            <w:pPr>
              <w:pStyle w:val="a6"/>
              <w:spacing w:before="0" w:beforeAutospacing="0" w:after="0" w:afterAutospacing="0"/>
              <w:ind w:firstLine="0"/>
              <w:rPr>
                <w:b/>
                <w:color w:val="auto"/>
                <w:lang w:val="uk-UA"/>
              </w:rPr>
            </w:pPr>
            <w:r>
              <w:rPr>
                <w:b/>
                <w:color w:val="auto"/>
                <w:lang w:val="uk-UA"/>
              </w:rPr>
              <w:t>С</w:t>
            </w:r>
            <w:r w:rsidRPr="00663AD5">
              <w:rPr>
                <w:b/>
                <w:color w:val="auto"/>
                <w:lang w:val="uk-UA"/>
              </w:rPr>
              <w:t>права №160/23180/23</w:t>
            </w:r>
            <w:r w:rsidRPr="00663AD5">
              <w:rPr>
                <w:b/>
                <w:color w:val="auto"/>
                <w:lang w:val="uk-UA"/>
              </w:rPr>
              <w:br/>
            </w:r>
          </w:p>
        </w:tc>
        <w:tc>
          <w:tcPr>
            <w:tcW w:w="4927" w:type="dxa"/>
          </w:tcPr>
          <w:p w:rsidR="00BD14C8" w:rsidRPr="00366E81" w:rsidRDefault="00BD14C8" w:rsidP="00A254F1">
            <w:pPr>
              <w:spacing w:after="200"/>
              <w:ind w:firstLine="36"/>
              <w:rPr>
                <w:b/>
                <w:color w:val="auto"/>
              </w:rPr>
            </w:pPr>
            <w:r w:rsidRPr="00366E81">
              <w:rPr>
                <w:b/>
                <w:color w:val="auto"/>
              </w:rPr>
              <w:t xml:space="preserve">До </w:t>
            </w:r>
            <w:proofErr w:type="spellStart"/>
            <w:r w:rsidRPr="00366E81">
              <w:rPr>
                <w:b/>
                <w:color w:val="auto"/>
              </w:rPr>
              <w:t>Дніпропетровського</w:t>
            </w:r>
            <w:proofErr w:type="spellEnd"/>
            <w:r w:rsidRPr="00366E81">
              <w:rPr>
                <w:b/>
                <w:color w:val="auto"/>
              </w:rPr>
              <w:t xml:space="preserve"> окружного </w:t>
            </w:r>
            <w:proofErr w:type="spellStart"/>
            <w:r w:rsidRPr="00366E81">
              <w:rPr>
                <w:b/>
                <w:color w:val="auto"/>
              </w:rPr>
              <w:t>адміністративного</w:t>
            </w:r>
            <w:proofErr w:type="spellEnd"/>
            <w:r w:rsidRPr="00366E81">
              <w:rPr>
                <w:b/>
                <w:color w:val="auto"/>
              </w:rPr>
              <w:t xml:space="preserve"> суду</w:t>
            </w:r>
            <w:r w:rsidRPr="00366E81">
              <w:rPr>
                <w:b/>
                <w:color w:val="auto"/>
              </w:rPr>
              <w:br/>
            </w:r>
            <w:proofErr w:type="spellStart"/>
            <w:r w:rsidRPr="00366E81">
              <w:rPr>
                <w:color w:val="auto"/>
                <w:sz w:val="20"/>
                <w:szCs w:val="20"/>
              </w:rPr>
              <w:t>вул</w:t>
            </w:r>
            <w:proofErr w:type="spellEnd"/>
            <w:r w:rsidRPr="00366E81">
              <w:rPr>
                <w:color w:val="auto"/>
                <w:sz w:val="20"/>
                <w:szCs w:val="20"/>
              </w:rPr>
              <w:t xml:space="preserve">. </w:t>
            </w:r>
            <w:proofErr w:type="spellStart"/>
            <w:r w:rsidRPr="00366E81">
              <w:rPr>
                <w:color w:val="auto"/>
                <w:sz w:val="20"/>
                <w:szCs w:val="20"/>
              </w:rPr>
              <w:t>Академіка</w:t>
            </w:r>
            <w:proofErr w:type="spellEnd"/>
            <w:r w:rsidRPr="00366E81">
              <w:rPr>
                <w:color w:val="auto"/>
                <w:sz w:val="20"/>
                <w:szCs w:val="20"/>
              </w:rPr>
              <w:t xml:space="preserve"> Янгеля,4</w:t>
            </w:r>
            <w:r w:rsidRPr="00366E81">
              <w:rPr>
                <w:color w:val="auto"/>
                <w:sz w:val="20"/>
                <w:szCs w:val="20"/>
              </w:rPr>
              <w:br/>
              <w:t xml:space="preserve">49089, м. </w:t>
            </w:r>
            <w:proofErr w:type="spellStart"/>
            <w:r w:rsidRPr="00366E81">
              <w:rPr>
                <w:color w:val="auto"/>
                <w:sz w:val="20"/>
                <w:szCs w:val="20"/>
              </w:rPr>
              <w:t>Дніпро</w:t>
            </w:r>
            <w:proofErr w:type="spellEnd"/>
          </w:p>
        </w:tc>
      </w:tr>
      <w:tr w:rsidR="00366E81" w:rsidRPr="00366E81" w:rsidTr="00A254F1">
        <w:tc>
          <w:tcPr>
            <w:tcW w:w="4926" w:type="dxa"/>
          </w:tcPr>
          <w:p w:rsidR="00BD14C8" w:rsidRPr="00366E81" w:rsidRDefault="00BD14C8" w:rsidP="00A254F1">
            <w:pPr>
              <w:pStyle w:val="a6"/>
              <w:spacing w:before="0" w:beforeAutospacing="0" w:after="0" w:afterAutospacing="0"/>
              <w:jc w:val="right"/>
              <w:rPr>
                <w:b/>
                <w:color w:val="auto"/>
                <w:lang w:val="uk-UA"/>
              </w:rPr>
            </w:pPr>
            <w:r w:rsidRPr="00366E81">
              <w:rPr>
                <w:b/>
                <w:color w:val="auto"/>
                <w:lang w:val="uk-UA"/>
              </w:rPr>
              <w:t>Позивачка:</w:t>
            </w:r>
          </w:p>
        </w:tc>
        <w:tc>
          <w:tcPr>
            <w:tcW w:w="4927" w:type="dxa"/>
          </w:tcPr>
          <w:p w:rsidR="00BD14C8" w:rsidRPr="00366E81" w:rsidRDefault="00CA206B" w:rsidP="00A254F1">
            <w:pPr>
              <w:ind w:left="20" w:firstLine="16"/>
              <w:rPr>
                <w:rFonts w:eastAsia="Times New Roman"/>
                <w:b/>
                <w:color w:val="auto"/>
                <w:lang w:eastAsia="uk-UA"/>
              </w:rPr>
            </w:pPr>
            <w:r>
              <w:rPr>
                <w:rFonts w:eastAsia="Times New Roman"/>
                <w:b/>
                <w:color w:val="auto"/>
                <w:lang w:eastAsia="uk-UA"/>
              </w:rPr>
              <w:t xml:space="preserve">ПІП </w:t>
            </w:r>
            <w:r w:rsidR="00BD14C8" w:rsidRPr="00366E81">
              <w:rPr>
                <w:rFonts w:eastAsia="Times New Roman"/>
                <w:b/>
                <w:color w:val="auto"/>
                <w:lang w:eastAsia="uk-UA"/>
              </w:rPr>
              <w:br/>
            </w:r>
            <w:r>
              <w:rPr>
                <w:rFonts w:eastAsia="Times New Roman"/>
                <w:b/>
                <w:color w:val="auto"/>
                <w:lang w:eastAsia="uk-UA"/>
              </w:rPr>
              <w:t xml:space="preserve">дата </w:t>
            </w:r>
            <w:proofErr w:type="spellStart"/>
            <w:r>
              <w:rPr>
                <w:rFonts w:eastAsia="Times New Roman"/>
                <w:b/>
                <w:color w:val="auto"/>
                <w:lang w:eastAsia="uk-UA"/>
              </w:rPr>
              <w:t>народження</w:t>
            </w:r>
            <w:proofErr w:type="spellEnd"/>
            <w:r w:rsidR="00BD14C8" w:rsidRPr="00366E81">
              <w:rPr>
                <w:rFonts w:eastAsia="Times New Roman"/>
                <w:b/>
                <w:color w:val="auto"/>
                <w:lang w:eastAsia="uk-UA"/>
              </w:rPr>
              <w:t xml:space="preserve"> </w:t>
            </w:r>
          </w:p>
          <w:p w:rsidR="00BD14C8" w:rsidRPr="00366E81" w:rsidRDefault="00BD14C8" w:rsidP="00A254F1">
            <w:pPr>
              <w:ind w:left="20" w:firstLine="16"/>
              <w:rPr>
                <w:rFonts w:eastAsia="Times New Roman"/>
                <w:b/>
                <w:color w:val="auto"/>
                <w:lang w:eastAsia="uk-UA"/>
              </w:rPr>
            </w:pPr>
            <w:r w:rsidRPr="00366E81">
              <w:rPr>
                <w:rFonts w:eastAsia="Times New Roman"/>
                <w:b/>
                <w:color w:val="auto"/>
                <w:lang w:eastAsia="uk-UA"/>
              </w:rPr>
              <w:t xml:space="preserve">РНОКПП </w:t>
            </w:r>
          </w:p>
          <w:p w:rsidR="00BD14C8" w:rsidRPr="00366E81" w:rsidRDefault="00083331" w:rsidP="00083331">
            <w:pPr>
              <w:ind w:left="20" w:firstLine="16"/>
              <w:rPr>
                <w:rFonts w:eastAsia="Times New Roman"/>
                <w:color w:val="auto"/>
                <w:sz w:val="20"/>
                <w:szCs w:val="20"/>
                <w:lang w:eastAsia="uk-UA"/>
              </w:rPr>
            </w:pPr>
            <w:proofErr w:type="spellStart"/>
            <w:r w:rsidRPr="00366E81">
              <w:rPr>
                <w:rFonts w:eastAsia="Times New Roman"/>
                <w:color w:val="auto"/>
                <w:sz w:val="20"/>
                <w:szCs w:val="20"/>
                <w:lang w:eastAsia="uk-UA"/>
              </w:rPr>
              <w:t>П</w:t>
            </w:r>
            <w:r w:rsidR="00BD14C8" w:rsidRPr="00366E81">
              <w:rPr>
                <w:rFonts w:eastAsia="Times New Roman"/>
                <w:color w:val="auto"/>
                <w:sz w:val="20"/>
                <w:szCs w:val="20"/>
                <w:lang w:eastAsia="uk-UA"/>
              </w:rPr>
              <w:t>аспорт</w:t>
            </w:r>
            <w:r>
              <w:rPr>
                <w:rFonts w:eastAsia="Times New Roman"/>
                <w:color w:val="auto"/>
                <w:sz w:val="20"/>
                <w:szCs w:val="20"/>
                <w:lang w:eastAsia="uk-UA"/>
              </w:rPr>
              <w:t>ні</w:t>
            </w:r>
            <w:proofErr w:type="spellEnd"/>
            <w:r>
              <w:rPr>
                <w:rFonts w:eastAsia="Times New Roman"/>
                <w:color w:val="auto"/>
                <w:sz w:val="20"/>
                <w:szCs w:val="20"/>
                <w:lang w:eastAsia="uk-UA"/>
              </w:rPr>
              <w:t xml:space="preserve"> </w:t>
            </w:r>
            <w:proofErr w:type="spellStart"/>
            <w:r>
              <w:rPr>
                <w:rFonts w:eastAsia="Times New Roman"/>
                <w:color w:val="auto"/>
                <w:sz w:val="20"/>
                <w:szCs w:val="20"/>
                <w:lang w:eastAsia="uk-UA"/>
              </w:rPr>
              <w:t>дані</w:t>
            </w:r>
            <w:proofErr w:type="spellEnd"/>
            <w:r w:rsidR="00BD14C8" w:rsidRPr="00366E81">
              <w:rPr>
                <w:rFonts w:eastAsia="Times New Roman"/>
                <w:color w:val="auto"/>
                <w:sz w:val="20"/>
                <w:szCs w:val="20"/>
                <w:lang w:eastAsia="uk-UA"/>
              </w:rPr>
              <w:t>,</w:t>
            </w:r>
            <w:r w:rsidR="00BD14C8" w:rsidRPr="00366E81">
              <w:rPr>
                <w:rFonts w:eastAsia="Times New Roman"/>
                <w:color w:val="auto"/>
                <w:sz w:val="20"/>
                <w:szCs w:val="20"/>
                <w:lang w:eastAsia="uk-UA"/>
              </w:rPr>
              <w:br/>
            </w:r>
            <w:proofErr w:type="spellStart"/>
            <w:r w:rsidR="00BD14C8" w:rsidRPr="00366E81">
              <w:rPr>
                <w:rFonts w:eastAsia="Times New Roman"/>
                <w:color w:val="auto"/>
                <w:sz w:val="20"/>
                <w:szCs w:val="20"/>
                <w:lang w:eastAsia="uk-UA"/>
              </w:rPr>
              <w:t>місце</w:t>
            </w:r>
            <w:proofErr w:type="spellEnd"/>
            <w:r w:rsidR="00BD14C8" w:rsidRPr="00366E81">
              <w:rPr>
                <w:rFonts w:eastAsia="Times New Roman"/>
                <w:color w:val="auto"/>
                <w:sz w:val="20"/>
                <w:szCs w:val="20"/>
                <w:lang w:eastAsia="uk-UA"/>
              </w:rPr>
              <w:t xml:space="preserve"> </w:t>
            </w:r>
            <w:proofErr w:type="spellStart"/>
            <w:r w:rsidR="00BD14C8" w:rsidRPr="00366E81">
              <w:rPr>
                <w:rFonts w:eastAsia="Times New Roman"/>
                <w:color w:val="auto"/>
                <w:sz w:val="20"/>
                <w:szCs w:val="20"/>
                <w:lang w:eastAsia="uk-UA"/>
              </w:rPr>
              <w:t>прожи</w:t>
            </w:r>
            <w:r>
              <w:rPr>
                <w:rFonts w:eastAsia="Times New Roman"/>
                <w:color w:val="auto"/>
                <w:sz w:val="20"/>
                <w:szCs w:val="20"/>
                <w:lang w:eastAsia="uk-UA"/>
              </w:rPr>
              <w:t>вання</w:t>
            </w:r>
            <w:proofErr w:type="spellEnd"/>
            <w:r>
              <w:rPr>
                <w:rFonts w:eastAsia="Times New Roman"/>
                <w:color w:val="auto"/>
                <w:sz w:val="20"/>
                <w:szCs w:val="20"/>
                <w:lang w:eastAsia="uk-UA"/>
              </w:rPr>
              <w:t xml:space="preserve"> </w:t>
            </w:r>
            <w:proofErr w:type="spellStart"/>
            <w:r>
              <w:rPr>
                <w:rFonts w:eastAsia="Times New Roman"/>
                <w:color w:val="auto"/>
                <w:sz w:val="20"/>
                <w:szCs w:val="20"/>
                <w:lang w:eastAsia="uk-UA"/>
              </w:rPr>
              <w:t>зареєстроване</w:t>
            </w:r>
            <w:proofErr w:type="spellEnd"/>
            <w:r>
              <w:rPr>
                <w:rFonts w:eastAsia="Times New Roman"/>
                <w:color w:val="auto"/>
                <w:sz w:val="20"/>
                <w:szCs w:val="20"/>
                <w:lang w:eastAsia="uk-UA"/>
              </w:rPr>
              <w:t xml:space="preserve"> за </w:t>
            </w:r>
            <w:proofErr w:type="spellStart"/>
            <w:r>
              <w:rPr>
                <w:rFonts w:eastAsia="Times New Roman"/>
                <w:color w:val="auto"/>
                <w:sz w:val="20"/>
                <w:szCs w:val="20"/>
                <w:lang w:eastAsia="uk-UA"/>
              </w:rPr>
              <w:t>адресою</w:t>
            </w:r>
            <w:proofErr w:type="spellEnd"/>
            <w:r>
              <w:rPr>
                <w:rFonts w:eastAsia="Times New Roman"/>
                <w:color w:val="auto"/>
                <w:sz w:val="20"/>
                <w:szCs w:val="20"/>
                <w:lang w:eastAsia="uk-UA"/>
              </w:rPr>
              <w:t>:</w:t>
            </w:r>
          </w:p>
          <w:p w:rsidR="00BD14C8" w:rsidRPr="00366E81" w:rsidRDefault="00BD14C8" w:rsidP="00366E81">
            <w:pPr>
              <w:pStyle w:val="a6"/>
              <w:spacing w:before="0" w:beforeAutospacing="0" w:after="0" w:afterAutospacing="0"/>
              <w:ind w:firstLine="0"/>
              <w:rPr>
                <w:color w:val="auto"/>
                <w:sz w:val="20"/>
                <w:szCs w:val="20"/>
                <w:lang w:val="uk-UA" w:eastAsia="uk-UA"/>
              </w:rPr>
            </w:pPr>
            <w:proofErr w:type="spellStart"/>
            <w:r w:rsidRPr="00366E81">
              <w:rPr>
                <w:color w:val="auto"/>
                <w:sz w:val="20"/>
                <w:szCs w:val="20"/>
                <w:lang w:val="uk-UA" w:eastAsia="uk-UA"/>
              </w:rPr>
              <w:t>тел</w:t>
            </w:r>
            <w:proofErr w:type="spellEnd"/>
            <w:r w:rsidRPr="00366E81">
              <w:rPr>
                <w:color w:val="auto"/>
                <w:sz w:val="20"/>
                <w:szCs w:val="20"/>
                <w:lang w:val="uk-UA" w:eastAsia="uk-UA"/>
              </w:rPr>
              <w:t>.:+3</w:t>
            </w:r>
            <w:r w:rsidR="00083331">
              <w:rPr>
                <w:color w:val="auto"/>
                <w:sz w:val="20"/>
                <w:szCs w:val="20"/>
                <w:lang w:val="uk-UA" w:eastAsia="uk-UA"/>
              </w:rPr>
              <w:t>80-</w:t>
            </w:r>
            <w:r w:rsidRPr="00366E81">
              <w:rPr>
                <w:color w:val="auto"/>
                <w:sz w:val="20"/>
                <w:szCs w:val="20"/>
                <w:lang w:val="uk-UA" w:eastAsia="uk-UA"/>
              </w:rPr>
              <w:br/>
            </w:r>
            <w:r w:rsidRPr="00366E81">
              <w:rPr>
                <w:color w:val="auto"/>
                <w:sz w:val="20"/>
                <w:szCs w:val="20"/>
                <w:lang w:val="en-US" w:eastAsia="uk-UA"/>
              </w:rPr>
              <w:t>e</w:t>
            </w:r>
            <w:r w:rsidRPr="00366E81">
              <w:rPr>
                <w:color w:val="auto"/>
                <w:sz w:val="20"/>
                <w:szCs w:val="20"/>
                <w:lang w:val="uk-UA" w:eastAsia="uk-UA"/>
              </w:rPr>
              <w:t>-</w:t>
            </w:r>
            <w:r w:rsidRPr="00366E81">
              <w:rPr>
                <w:color w:val="auto"/>
                <w:sz w:val="20"/>
                <w:szCs w:val="20"/>
                <w:lang w:val="en-US" w:eastAsia="uk-UA"/>
              </w:rPr>
              <w:t>mail</w:t>
            </w:r>
            <w:r w:rsidRPr="00366E81">
              <w:rPr>
                <w:color w:val="auto"/>
                <w:sz w:val="20"/>
                <w:szCs w:val="20"/>
                <w:lang w:val="uk-UA" w:eastAsia="uk-UA"/>
              </w:rPr>
              <w:t xml:space="preserve">: </w:t>
            </w:r>
            <w:r w:rsidRPr="00366E81">
              <w:rPr>
                <w:color w:val="auto"/>
                <w:sz w:val="20"/>
                <w:szCs w:val="20"/>
                <w:lang w:val="uk-UA" w:eastAsia="uk-UA"/>
              </w:rPr>
              <w:br/>
              <w:t>інші засоби зв’язку відсутні</w:t>
            </w:r>
          </w:p>
          <w:p w:rsidR="00BD14C8" w:rsidRPr="00366E81" w:rsidRDefault="00BD14C8" w:rsidP="00A254F1">
            <w:pPr>
              <w:pStyle w:val="a6"/>
              <w:spacing w:before="0" w:beforeAutospacing="0" w:after="0" w:afterAutospacing="0"/>
              <w:jc w:val="both"/>
              <w:rPr>
                <w:color w:val="auto"/>
                <w:sz w:val="20"/>
                <w:szCs w:val="20"/>
                <w:lang w:val="uk-UA"/>
              </w:rPr>
            </w:pPr>
          </w:p>
        </w:tc>
      </w:tr>
      <w:tr w:rsidR="00366E81" w:rsidRPr="00366E81" w:rsidTr="00A254F1">
        <w:tc>
          <w:tcPr>
            <w:tcW w:w="4926" w:type="dxa"/>
          </w:tcPr>
          <w:p w:rsidR="00BD14C8" w:rsidRPr="00366E81" w:rsidRDefault="00BD14C8" w:rsidP="00A254F1">
            <w:pPr>
              <w:pStyle w:val="a6"/>
              <w:spacing w:before="0" w:beforeAutospacing="0" w:after="0" w:afterAutospacing="0"/>
              <w:jc w:val="right"/>
              <w:rPr>
                <w:b/>
                <w:color w:val="auto"/>
                <w:lang w:val="uk-UA"/>
              </w:rPr>
            </w:pPr>
            <w:r w:rsidRPr="00366E81">
              <w:rPr>
                <w:b/>
                <w:color w:val="auto"/>
                <w:lang w:val="uk-UA"/>
              </w:rPr>
              <w:t>Відповідач:</w:t>
            </w:r>
          </w:p>
        </w:tc>
        <w:tc>
          <w:tcPr>
            <w:tcW w:w="4927" w:type="dxa"/>
          </w:tcPr>
          <w:p w:rsidR="00BD14C8" w:rsidRPr="00366E81" w:rsidRDefault="00BD14C8" w:rsidP="00A254F1">
            <w:pPr>
              <w:ind w:left="36" w:firstLine="0"/>
              <w:rPr>
                <w:rFonts w:eastAsia="Calibri"/>
                <w:b/>
                <w:color w:val="auto"/>
              </w:rPr>
            </w:pPr>
            <w:r w:rsidRPr="00366E81">
              <w:rPr>
                <w:rFonts w:eastAsia="Calibri"/>
                <w:b/>
                <w:color w:val="auto"/>
              </w:rPr>
              <w:t xml:space="preserve">Головне </w:t>
            </w:r>
            <w:proofErr w:type="spellStart"/>
            <w:r w:rsidRPr="00366E81">
              <w:rPr>
                <w:rFonts w:eastAsia="Calibri"/>
                <w:b/>
                <w:color w:val="auto"/>
              </w:rPr>
              <w:t>управлінням</w:t>
            </w:r>
            <w:proofErr w:type="spellEnd"/>
            <w:r w:rsidRPr="00366E81">
              <w:rPr>
                <w:rFonts w:eastAsia="Calibri"/>
                <w:b/>
                <w:color w:val="auto"/>
              </w:rPr>
              <w:t xml:space="preserve"> ДПС </w:t>
            </w:r>
            <w:r w:rsidRPr="00366E81">
              <w:rPr>
                <w:rFonts w:eastAsia="Calibri"/>
                <w:b/>
                <w:color w:val="auto"/>
              </w:rPr>
              <w:br/>
              <w:t xml:space="preserve">у </w:t>
            </w:r>
            <w:proofErr w:type="spellStart"/>
            <w:r w:rsidRPr="00366E81">
              <w:rPr>
                <w:rFonts w:eastAsia="Calibri"/>
                <w:b/>
                <w:color w:val="auto"/>
              </w:rPr>
              <w:t>Дніпропетровській</w:t>
            </w:r>
            <w:proofErr w:type="spellEnd"/>
            <w:r w:rsidRPr="00366E81">
              <w:rPr>
                <w:rFonts w:eastAsia="Calibri"/>
                <w:b/>
                <w:color w:val="auto"/>
              </w:rPr>
              <w:t xml:space="preserve"> </w:t>
            </w:r>
            <w:proofErr w:type="spellStart"/>
            <w:r w:rsidRPr="00366E81">
              <w:rPr>
                <w:rFonts w:eastAsia="Calibri"/>
                <w:b/>
                <w:color w:val="auto"/>
              </w:rPr>
              <w:t>області</w:t>
            </w:r>
            <w:proofErr w:type="spellEnd"/>
            <w:r w:rsidRPr="00366E81">
              <w:rPr>
                <w:rFonts w:eastAsia="Calibri"/>
                <w:b/>
                <w:color w:val="auto"/>
              </w:rPr>
              <w:t> </w:t>
            </w:r>
          </w:p>
          <w:p w:rsidR="00BD14C8" w:rsidRPr="00366E81" w:rsidRDefault="00BD14C8" w:rsidP="00A254F1">
            <w:pPr>
              <w:ind w:left="36" w:firstLine="0"/>
              <w:rPr>
                <w:rFonts w:eastAsia="Calibri"/>
                <w:color w:val="auto"/>
                <w:sz w:val="20"/>
                <w:szCs w:val="20"/>
              </w:rPr>
            </w:pPr>
            <w:r w:rsidRPr="00366E81">
              <w:rPr>
                <w:rFonts w:eastAsia="Calibri"/>
                <w:b/>
                <w:color w:val="auto"/>
              </w:rPr>
              <w:t>ЄДРПОУ 44118658</w:t>
            </w:r>
            <w:r w:rsidRPr="00366E81">
              <w:rPr>
                <w:rFonts w:eastAsia="Calibri"/>
                <w:b/>
                <w:color w:val="auto"/>
              </w:rPr>
              <w:br/>
            </w:r>
            <w:r w:rsidRPr="00366E81">
              <w:rPr>
                <w:rFonts w:eastAsia="Calibri"/>
                <w:color w:val="auto"/>
                <w:sz w:val="20"/>
                <w:szCs w:val="20"/>
              </w:rPr>
              <w:t xml:space="preserve">49005, м. </w:t>
            </w:r>
            <w:proofErr w:type="spellStart"/>
            <w:r w:rsidRPr="00366E81">
              <w:rPr>
                <w:rFonts w:eastAsia="Calibri"/>
                <w:color w:val="auto"/>
                <w:sz w:val="20"/>
                <w:szCs w:val="20"/>
              </w:rPr>
              <w:t>Дніпро,вул</w:t>
            </w:r>
            <w:proofErr w:type="spellEnd"/>
            <w:r w:rsidRPr="00366E81">
              <w:rPr>
                <w:rFonts w:eastAsia="Calibri"/>
                <w:color w:val="auto"/>
                <w:sz w:val="20"/>
                <w:szCs w:val="20"/>
              </w:rPr>
              <w:t xml:space="preserve">. </w:t>
            </w:r>
            <w:proofErr w:type="spellStart"/>
            <w:r w:rsidRPr="00366E81">
              <w:rPr>
                <w:rFonts w:eastAsia="Calibri"/>
                <w:color w:val="auto"/>
                <w:sz w:val="20"/>
                <w:szCs w:val="20"/>
              </w:rPr>
              <w:t>Сімферопольська</w:t>
            </w:r>
            <w:proofErr w:type="spellEnd"/>
            <w:r w:rsidRPr="00366E81">
              <w:rPr>
                <w:rFonts w:eastAsia="Calibri"/>
                <w:color w:val="auto"/>
                <w:sz w:val="20"/>
                <w:szCs w:val="20"/>
              </w:rPr>
              <w:t>, 17-а</w:t>
            </w:r>
          </w:p>
          <w:p w:rsidR="00BD14C8" w:rsidRPr="00366E81" w:rsidRDefault="00BD14C8" w:rsidP="00A254F1">
            <w:pPr>
              <w:ind w:left="36" w:firstLine="0"/>
              <w:rPr>
                <w:rFonts w:eastAsia="Calibri"/>
                <w:color w:val="auto"/>
                <w:sz w:val="20"/>
                <w:szCs w:val="20"/>
              </w:rPr>
            </w:pPr>
            <w:r w:rsidRPr="00366E81">
              <w:rPr>
                <w:rFonts w:eastAsia="Calibri"/>
                <w:color w:val="auto"/>
                <w:sz w:val="20"/>
                <w:szCs w:val="20"/>
                <w:lang w:val="en-US" w:eastAsia="uk-UA"/>
              </w:rPr>
              <w:t>e</w:t>
            </w:r>
            <w:r w:rsidRPr="00366E81">
              <w:rPr>
                <w:rFonts w:eastAsia="Calibri"/>
                <w:color w:val="auto"/>
                <w:sz w:val="20"/>
                <w:szCs w:val="20"/>
                <w:lang w:eastAsia="uk-UA"/>
              </w:rPr>
              <w:t>-</w:t>
            </w:r>
            <w:r w:rsidRPr="00366E81">
              <w:rPr>
                <w:rFonts w:eastAsia="Calibri"/>
                <w:color w:val="auto"/>
                <w:sz w:val="20"/>
                <w:szCs w:val="20"/>
                <w:lang w:val="en-US" w:eastAsia="uk-UA"/>
              </w:rPr>
              <w:t>mail</w:t>
            </w:r>
            <w:r w:rsidRPr="00366E81">
              <w:rPr>
                <w:rFonts w:eastAsia="Calibri"/>
                <w:color w:val="auto"/>
                <w:sz w:val="20"/>
                <w:szCs w:val="20"/>
                <w:lang w:eastAsia="uk-UA"/>
              </w:rPr>
              <w:t xml:space="preserve">: </w:t>
            </w:r>
            <w:proofErr w:type="spellStart"/>
            <w:r w:rsidRPr="00366E81">
              <w:rPr>
                <w:rFonts w:eastAsia="Calibri"/>
                <w:color w:val="auto"/>
                <w:sz w:val="20"/>
                <w:szCs w:val="20"/>
                <w:lang w:val="en-US" w:eastAsia="uk-UA"/>
              </w:rPr>
              <w:t>dp</w:t>
            </w:r>
            <w:proofErr w:type="spellEnd"/>
            <w:r w:rsidRPr="00366E81">
              <w:rPr>
                <w:rFonts w:eastAsia="Calibri"/>
                <w:color w:val="auto"/>
                <w:sz w:val="20"/>
                <w:szCs w:val="20"/>
                <w:lang w:eastAsia="uk-UA"/>
              </w:rPr>
              <w:t>.</w:t>
            </w:r>
            <w:r w:rsidRPr="00366E81">
              <w:rPr>
                <w:rFonts w:eastAsia="Calibri"/>
                <w:color w:val="auto"/>
                <w:sz w:val="20"/>
                <w:szCs w:val="20"/>
                <w:lang w:val="en-US" w:eastAsia="uk-UA"/>
              </w:rPr>
              <w:t>official</w:t>
            </w:r>
            <w:r w:rsidRPr="00366E81">
              <w:rPr>
                <w:rFonts w:eastAsia="Calibri"/>
                <w:color w:val="auto"/>
                <w:sz w:val="20"/>
                <w:szCs w:val="20"/>
                <w:lang w:eastAsia="uk-UA"/>
              </w:rPr>
              <w:t>@</w:t>
            </w:r>
            <w:r w:rsidRPr="00366E81">
              <w:rPr>
                <w:rFonts w:eastAsia="Calibri"/>
                <w:color w:val="auto"/>
                <w:sz w:val="20"/>
                <w:szCs w:val="20"/>
                <w:lang w:val="en-US" w:eastAsia="uk-UA"/>
              </w:rPr>
              <w:t>tax</w:t>
            </w:r>
            <w:r w:rsidRPr="00366E81">
              <w:rPr>
                <w:rFonts w:eastAsia="Calibri"/>
                <w:color w:val="auto"/>
                <w:sz w:val="20"/>
                <w:szCs w:val="20"/>
                <w:lang w:eastAsia="uk-UA"/>
              </w:rPr>
              <w:t>.</w:t>
            </w:r>
            <w:proofErr w:type="spellStart"/>
            <w:r w:rsidRPr="00366E81">
              <w:rPr>
                <w:rFonts w:eastAsia="Calibri"/>
                <w:color w:val="auto"/>
                <w:sz w:val="20"/>
                <w:szCs w:val="20"/>
                <w:lang w:val="en-US" w:eastAsia="uk-UA"/>
              </w:rPr>
              <w:t>gov</w:t>
            </w:r>
            <w:proofErr w:type="spellEnd"/>
            <w:r w:rsidRPr="00366E81">
              <w:rPr>
                <w:rFonts w:eastAsia="Calibri"/>
                <w:color w:val="auto"/>
                <w:sz w:val="20"/>
                <w:szCs w:val="20"/>
                <w:lang w:eastAsia="uk-UA"/>
              </w:rPr>
              <w:t>.</w:t>
            </w:r>
            <w:proofErr w:type="spellStart"/>
            <w:r w:rsidRPr="00366E81">
              <w:rPr>
                <w:rFonts w:eastAsia="Calibri"/>
                <w:color w:val="auto"/>
                <w:sz w:val="20"/>
                <w:szCs w:val="20"/>
                <w:lang w:val="en-US" w:eastAsia="uk-UA"/>
              </w:rPr>
              <w:t>ua</w:t>
            </w:r>
            <w:proofErr w:type="spellEnd"/>
            <w:r w:rsidRPr="00366E81">
              <w:rPr>
                <w:rFonts w:eastAsia="Calibri"/>
                <w:color w:val="auto"/>
                <w:sz w:val="20"/>
                <w:szCs w:val="20"/>
              </w:rPr>
              <w:br/>
            </w:r>
            <w:proofErr w:type="spellStart"/>
            <w:r w:rsidRPr="00366E81">
              <w:rPr>
                <w:rFonts w:eastAsia="Calibri"/>
                <w:color w:val="auto"/>
                <w:sz w:val="20"/>
                <w:szCs w:val="20"/>
              </w:rPr>
              <w:t>інші</w:t>
            </w:r>
            <w:proofErr w:type="spellEnd"/>
            <w:r w:rsidRPr="00366E81">
              <w:rPr>
                <w:rFonts w:eastAsia="Calibri"/>
                <w:color w:val="auto"/>
                <w:sz w:val="20"/>
                <w:szCs w:val="20"/>
              </w:rPr>
              <w:t xml:space="preserve"> </w:t>
            </w:r>
            <w:proofErr w:type="spellStart"/>
            <w:r w:rsidRPr="00366E81">
              <w:rPr>
                <w:rFonts w:eastAsia="Calibri"/>
                <w:color w:val="auto"/>
                <w:sz w:val="20"/>
                <w:szCs w:val="20"/>
              </w:rPr>
              <w:t>засоби</w:t>
            </w:r>
            <w:proofErr w:type="spellEnd"/>
            <w:r w:rsidRPr="00366E81">
              <w:rPr>
                <w:rFonts w:eastAsia="Calibri"/>
                <w:color w:val="auto"/>
                <w:sz w:val="20"/>
                <w:szCs w:val="20"/>
              </w:rPr>
              <w:t xml:space="preserve"> </w:t>
            </w:r>
            <w:proofErr w:type="spellStart"/>
            <w:r w:rsidRPr="00366E81">
              <w:rPr>
                <w:rFonts w:eastAsia="Calibri"/>
                <w:color w:val="auto"/>
                <w:sz w:val="20"/>
                <w:szCs w:val="20"/>
              </w:rPr>
              <w:t>зв’язку</w:t>
            </w:r>
            <w:proofErr w:type="spellEnd"/>
            <w:r w:rsidRPr="00366E81">
              <w:rPr>
                <w:rFonts w:eastAsia="Calibri"/>
                <w:color w:val="auto"/>
                <w:sz w:val="20"/>
                <w:szCs w:val="20"/>
              </w:rPr>
              <w:t xml:space="preserve"> </w:t>
            </w:r>
            <w:proofErr w:type="spellStart"/>
            <w:r w:rsidRPr="00366E81">
              <w:rPr>
                <w:rFonts w:eastAsia="Calibri"/>
                <w:color w:val="auto"/>
                <w:sz w:val="20"/>
                <w:szCs w:val="20"/>
              </w:rPr>
              <w:t>невідомі</w:t>
            </w:r>
            <w:proofErr w:type="spellEnd"/>
          </w:p>
          <w:p w:rsidR="00BD14C8" w:rsidRPr="00366E81" w:rsidRDefault="00BD14C8" w:rsidP="00A254F1">
            <w:pPr>
              <w:pStyle w:val="a6"/>
              <w:spacing w:before="0" w:beforeAutospacing="0" w:after="0" w:afterAutospacing="0"/>
              <w:jc w:val="both"/>
              <w:rPr>
                <w:color w:val="auto"/>
                <w:lang w:val="uk-UA"/>
              </w:rPr>
            </w:pPr>
          </w:p>
        </w:tc>
      </w:tr>
    </w:tbl>
    <w:p w:rsidR="00BD14C8" w:rsidRPr="00366E81" w:rsidRDefault="00BD14C8" w:rsidP="00BD14C8">
      <w:pPr>
        <w:jc w:val="center"/>
        <w:rPr>
          <w:b/>
          <w:bCs/>
        </w:rPr>
      </w:pPr>
      <w:r w:rsidRPr="00366E81">
        <w:rPr>
          <w:b/>
          <w:bCs/>
        </w:rPr>
        <w:t>ЗАЯВА</w:t>
      </w:r>
      <w:r w:rsidRPr="00366E81">
        <w:rPr>
          <w:b/>
          <w:bCs/>
        </w:rPr>
        <w:br/>
        <w:t>про забезпечення позову</w:t>
      </w:r>
    </w:p>
    <w:p w:rsidR="007B15D6" w:rsidRPr="00366E81" w:rsidRDefault="007B15D6" w:rsidP="007B15D6">
      <w:pPr>
        <w:ind w:firstLine="709"/>
        <w:jc w:val="both"/>
      </w:pPr>
    </w:p>
    <w:p w:rsidR="005473F6" w:rsidRPr="00366E81" w:rsidRDefault="007B15D6" w:rsidP="005473F6">
      <w:pPr>
        <w:ind w:firstLine="709"/>
        <w:jc w:val="both"/>
      </w:pPr>
      <w:r w:rsidRPr="00366E81">
        <w:t>06 вересня</w:t>
      </w:r>
      <w:r w:rsidR="00BD14C8" w:rsidRPr="00366E81">
        <w:t xml:space="preserve"> 2023 року </w:t>
      </w:r>
      <w:r w:rsidRPr="00366E81">
        <w:t xml:space="preserve">я, </w:t>
      </w:r>
      <w:r w:rsidR="00083331">
        <w:t>ПІП</w:t>
      </w:r>
      <w:r w:rsidRPr="00366E81">
        <w:t>,</w:t>
      </w:r>
      <w:r w:rsidR="00BD14C8" w:rsidRPr="00366E81">
        <w:t xml:space="preserve"> звернул</w:t>
      </w:r>
      <w:r w:rsidRPr="00366E81">
        <w:t xml:space="preserve">ась </w:t>
      </w:r>
      <w:r w:rsidR="00BD14C8" w:rsidRPr="00366E81">
        <w:t xml:space="preserve">до </w:t>
      </w:r>
      <w:r w:rsidRPr="00366E81">
        <w:t>Дніпропетровського</w:t>
      </w:r>
      <w:r w:rsidR="00BD14C8" w:rsidRPr="00366E81">
        <w:t xml:space="preserve"> окружного адміністративного суду із позовом до </w:t>
      </w:r>
      <w:r w:rsidR="00EB5BFB" w:rsidRPr="00366E81">
        <w:t xml:space="preserve">Головне управлінням ДПС у Дніпропетровській області </w:t>
      </w:r>
      <w:r w:rsidR="00BD14C8" w:rsidRPr="00366E81">
        <w:t xml:space="preserve">про визнання </w:t>
      </w:r>
      <w:r w:rsidR="00EB5BFB" w:rsidRPr="00366E81">
        <w:rPr>
          <w:rFonts w:eastAsia="Calibri"/>
          <w:lang w:eastAsia="uk-UA"/>
        </w:rPr>
        <w:t xml:space="preserve">протиправною та скасувати вимогу Головного управління ДПС у Дніпропетровській області про сплату боргу (недоїмки) від </w:t>
      </w:r>
      <w:r w:rsidR="00083331">
        <w:rPr>
          <w:rFonts w:eastAsia="Calibri"/>
          <w:lang w:eastAsia="uk-UA"/>
        </w:rPr>
        <w:t>дата</w:t>
      </w:r>
      <w:r w:rsidR="00EB5BFB" w:rsidRPr="00366E81">
        <w:rPr>
          <w:rFonts w:eastAsia="Calibri"/>
          <w:lang w:eastAsia="uk-UA"/>
        </w:rPr>
        <w:t xml:space="preserve"> № Ф </w:t>
      </w:r>
      <w:r w:rsidR="00083331">
        <w:rPr>
          <w:rFonts w:eastAsia="Calibri"/>
          <w:lang w:eastAsia="uk-UA"/>
        </w:rPr>
        <w:t>номер</w:t>
      </w:r>
      <w:r w:rsidR="00BD14C8" w:rsidRPr="00366E81">
        <w:t>.</w:t>
      </w:r>
    </w:p>
    <w:p w:rsidR="005473F6" w:rsidRPr="00366E81" w:rsidRDefault="0096178A" w:rsidP="005473F6">
      <w:pPr>
        <w:ind w:firstLine="709"/>
        <w:jc w:val="both"/>
        <w:rPr>
          <w:rFonts w:eastAsia="Calibri"/>
          <w:lang w:eastAsia="uk-UA"/>
        </w:rPr>
      </w:pPr>
      <w:r w:rsidRPr="00366E81">
        <w:rPr>
          <w:rFonts w:eastAsia="Calibri"/>
          <w:szCs w:val="22"/>
        </w:rPr>
        <w:t>Предметом позову є</w:t>
      </w:r>
      <w:r w:rsidRPr="00366E81">
        <w:rPr>
          <w:rFonts w:eastAsia="Calibri"/>
          <w:lang w:eastAsia="uk-UA"/>
        </w:rPr>
        <w:t xml:space="preserve"> те, що </w:t>
      </w:r>
      <w:r w:rsidR="005473F6" w:rsidRPr="00366E81">
        <w:rPr>
          <w:rFonts w:eastAsia="Calibri"/>
          <w:lang w:eastAsia="uk-UA"/>
        </w:rPr>
        <w:t xml:space="preserve">Головним управлінням ДПС у Дніпропетровській області сформовано вимогу про сплату боргу (недоїмки) від </w:t>
      </w:r>
      <w:r w:rsidR="00083331">
        <w:rPr>
          <w:rFonts w:eastAsia="Calibri"/>
          <w:lang w:eastAsia="uk-UA"/>
        </w:rPr>
        <w:t>дата</w:t>
      </w:r>
      <w:r w:rsidR="005473F6" w:rsidRPr="00366E81">
        <w:rPr>
          <w:rFonts w:eastAsia="Calibri"/>
          <w:lang w:eastAsia="uk-UA"/>
        </w:rPr>
        <w:t xml:space="preserve"> № Ф </w:t>
      </w:r>
      <w:r w:rsidR="00083331">
        <w:rPr>
          <w:rFonts w:eastAsia="Calibri"/>
          <w:lang w:eastAsia="uk-UA"/>
        </w:rPr>
        <w:t>номер</w:t>
      </w:r>
      <w:r w:rsidR="005473F6" w:rsidRPr="00366E81">
        <w:rPr>
          <w:rFonts w:eastAsia="Calibri"/>
          <w:lang w:eastAsia="uk-UA"/>
        </w:rPr>
        <w:t xml:space="preserve">, якою, на підставі </w:t>
      </w:r>
      <w:hyperlink r:id="rId5" w:anchor="909" w:tgtFrame="_blank" w:tooltip="Про збір та облік єдиного внеску на загальнообов'язкове державне соціальне страхування; нормативно-правовий акт № 2464-VI від 08.07.2010" w:history="1">
        <w:r w:rsidR="005473F6" w:rsidRPr="00366E81">
          <w:rPr>
            <w:rFonts w:eastAsia="Calibri"/>
            <w:lang w:eastAsia="uk-UA"/>
          </w:rPr>
          <w:t>статті 25 Закону України «Про збір та облік єдиного внеску на загальнообов`язкове державне соціальне страхування»</w:t>
        </w:r>
      </w:hyperlink>
      <w:r w:rsidR="005473F6" w:rsidRPr="00366E81">
        <w:rPr>
          <w:rFonts w:eastAsia="Calibri"/>
          <w:lang w:eastAsia="uk-UA"/>
        </w:rPr>
        <w:t xml:space="preserve"> та даних інформаційної системи органу доходів і зборів, мене зобов`язано сплатити недоїмку у розмірі </w:t>
      </w:r>
      <w:r w:rsidR="00083331">
        <w:rPr>
          <w:rFonts w:eastAsia="Calibri"/>
          <w:lang w:eastAsia="uk-UA"/>
        </w:rPr>
        <w:t>суми</w:t>
      </w:r>
      <w:r w:rsidR="005473F6" w:rsidRPr="00366E81">
        <w:rPr>
          <w:rFonts w:eastAsia="Calibri"/>
          <w:lang w:eastAsia="uk-UA"/>
        </w:rPr>
        <w:t xml:space="preserve"> гривень.</w:t>
      </w:r>
    </w:p>
    <w:p w:rsidR="00C00F30" w:rsidRPr="00366E81" w:rsidRDefault="00C00F30" w:rsidP="00C00F30">
      <w:pPr>
        <w:ind w:firstLine="709"/>
        <w:jc w:val="both"/>
        <w:rPr>
          <w:rFonts w:eastAsia="Calibri"/>
          <w:lang w:eastAsia="uk-UA"/>
        </w:rPr>
      </w:pPr>
      <w:r w:rsidRPr="00366E81">
        <w:rPr>
          <w:rFonts w:eastAsia="Calibri"/>
          <w:lang w:eastAsia="uk-UA"/>
        </w:rPr>
        <w:t xml:space="preserve">Я не погоджуюсь із зазначеною вимогою, оскільки, протягом 2014-2023 років я не здійснювала адвокатську діяльність, що підтверджується витягом з Єдиного реєстру адвокатів України, дохід не отримувала від адвокатської діяльності, отже відсутні підстави для нарахування та сплати єдиного соціального внеску. </w:t>
      </w:r>
    </w:p>
    <w:p w:rsidR="00C00F30" w:rsidRPr="00366E81" w:rsidRDefault="00C00F30" w:rsidP="00C00F30">
      <w:pPr>
        <w:ind w:firstLine="709"/>
        <w:jc w:val="both"/>
        <w:rPr>
          <w:rFonts w:eastAsia="Calibri"/>
          <w:i/>
          <w:lang w:eastAsia="uk-UA"/>
        </w:rPr>
      </w:pPr>
      <w:r w:rsidRPr="00366E81">
        <w:rPr>
          <w:rFonts w:eastAsia="Calibri"/>
          <w:lang w:eastAsia="uk-UA"/>
        </w:rPr>
        <w:t xml:space="preserve">Так, відповідно до відомостей Єдиного реєстру адвокатів України </w:t>
      </w:r>
      <w:r w:rsidR="00083331">
        <w:rPr>
          <w:rFonts w:eastAsia="Calibri"/>
          <w:lang w:eastAsia="uk-UA"/>
        </w:rPr>
        <w:t xml:space="preserve">ПІП </w:t>
      </w:r>
      <w:r w:rsidRPr="00366E81">
        <w:rPr>
          <w:rFonts w:eastAsia="Calibri"/>
          <w:lang w:eastAsia="uk-UA"/>
        </w:rPr>
        <w:t xml:space="preserve">здійснювала адвокатську діяльність на підставі свідоцтва про право на заняття адвокатською діяльністю від </w:t>
      </w:r>
      <w:r w:rsidR="00083331">
        <w:rPr>
          <w:rFonts w:eastAsia="Calibri"/>
          <w:lang w:eastAsia="uk-UA"/>
        </w:rPr>
        <w:t>дата</w:t>
      </w:r>
      <w:r w:rsidRPr="00366E81">
        <w:rPr>
          <w:rFonts w:eastAsia="Calibri"/>
          <w:lang w:eastAsia="uk-UA"/>
        </w:rPr>
        <w:t xml:space="preserve"> №</w:t>
      </w:r>
      <w:r w:rsidR="00083331">
        <w:rPr>
          <w:rFonts w:eastAsia="Calibri"/>
          <w:lang w:eastAsia="uk-UA"/>
        </w:rPr>
        <w:t>номер</w:t>
      </w:r>
      <w:r w:rsidRPr="00366E81">
        <w:rPr>
          <w:rFonts w:eastAsia="Calibri"/>
          <w:lang w:eastAsia="uk-UA"/>
        </w:rPr>
        <w:t>, виданого Дніпропетровською обласною кваліфікаційно-дисциплінарною комісією адвокатурою.</w:t>
      </w:r>
      <w:r w:rsidRPr="00366E81">
        <w:rPr>
          <w:rFonts w:eastAsia="Calibri"/>
          <w:i/>
          <w:lang w:eastAsia="uk-UA"/>
        </w:rPr>
        <w:t xml:space="preserve"> </w:t>
      </w:r>
    </w:p>
    <w:p w:rsidR="00C00F30" w:rsidRPr="00CA206B" w:rsidRDefault="00C00F30" w:rsidP="00C00F30">
      <w:pPr>
        <w:ind w:firstLine="709"/>
        <w:jc w:val="both"/>
        <w:rPr>
          <w:rFonts w:eastAsia="Calibri"/>
          <w:i/>
          <w:lang w:eastAsia="uk-UA"/>
        </w:rPr>
      </w:pPr>
      <w:r w:rsidRPr="00366E81">
        <w:rPr>
          <w:rFonts w:eastAsia="Calibri"/>
          <w:lang w:eastAsia="uk-UA"/>
        </w:rPr>
        <w:t xml:space="preserve">Право на заняття адвокатською діяльністю припинено згідно пункту 1 частини першої </w:t>
      </w:r>
      <w:hyperlink r:id="rId6" w:anchor="277" w:tgtFrame="_blank" w:tooltip="Про адвокатуру та адвокатську діяльність; нормативно-правовий акт № 5076-VI від 05.07.2012" w:history="1">
        <w:r w:rsidRPr="00366E81">
          <w:rPr>
            <w:rStyle w:val="a3"/>
            <w:rFonts w:eastAsia="Calibri"/>
            <w:color w:val="auto"/>
            <w:u w:val="none"/>
            <w:lang w:eastAsia="uk-UA"/>
          </w:rPr>
          <w:t>статті 31 Закону України «Про адвокатуру та адвокатську діяльність»</w:t>
        </w:r>
      </w:hyperlink>
      <w:r w:rsidRPr="00366E81">
        <w:rPr>
          <w:rFonts w:eastAsia="Calibri"/>
          <w:lang w:eastAsia="uk-UA"/>
        </w:rPr>
        <w:t xml:space="preserve"> з </w:t>
      </w:r>
      <w:r w:rsidR="00083331">
        <w:rPr>
          <w:rFonts w:eastAsia="Calibri"/>
          <w:lang w:eastAsia="uk-UA"/>
        </w:rPr>
        <w:t>дати</w:t>
      </w:r>
      <w:r w:rsidRPr="00366E81">
        <w:rPr>
          <w:rFonts w:eastAsia="Calibri"/>
          <w:lang w:eastAsia="uk-UA"/>
        </w:rPr>
        <w:t xml:space="preserve"> на підставі відповідної заяви. </w:t>
      </w:r>
    </w:p>
    <w:p w:rsidR="00C00F30" w:rsidRPr="00CA206B" w:rsidRDefault="00C00F30" w:rsidP="00C00F30">
      <w:pPr>
        <w:ind w:firstLine="709"/>
        <w:jc w:val="both"/>
        <w:rPr>
          <w:rFonts w:eastAsia="Calibri"/>
          <w:i/>
          <w:lang w:val="ru-RU" w:eastAsia="uk-UA"/>
        </w:rPr>
      </w:pPr>
      <w:r w:rsidRPr="00366E81">
        <w:rPr>
          <w:rFonts w:eastAsia="Calibri"/>
          <w:lang w:eastAsia="uk-UA"/>
        </w:rPr>
        <w:t>З 16.03.2015 по 01.09.2015 я працювала в комунальному підприємстві «</w:t>
      </w:r>
      <w:r w:rsidR="00083331">
        <w:rPr>
          <w:rFonts w:eastAsia="Calibri"/>
          <w:lang w:eastAsia="uk-UA"/>
        </w:rPr>
        <w:t>______________________</w:t>
      </w:r>
      <w:r w:rsidRPr="00366E81">
        <w:rPr>
          <w:rFonts w:eastAsia="Calibri"/>
          <w:lang w:eastAsia="uk-UA"/>
        </w:rPr>
        <w:t xml:space="preserve">», з 12.11.2015 по 05.01.2017 - </w:t>
      </w:r>
      <w:r w:rsidR="00083331">
        <w:rPr>
          <w:rFonts w:eastAsia="Calibri"/>
          <w:lang w:eastAsia="uk-UA"/>
        </w:rPr>
        <w:t>_____________________</w:t>
      </w:r>
      <w:r w:rsidRPr="00366E81">
        <w:rPr>
          <w:rFonts w:eastAsia="Calibri"/>
          <w:lang w:eastAsia="uk-UA"/>
        </w:rPr>
        <w:t>, з 10.01.2017 по 31.08.201 комунальний заклад «</w:t>
      </w:r>
      <w:r w:rsidR="00083331">
        <w:rPr>
          <w:rFonts w:eastAsia="Calibri"/>
          <w:lang w:eastAsia="uk-UA"/>
        </w:rPr>
        <w:t>________________________</w:t>
      </w:r>
      <w:r w:rsidRPr="00366E81">
        <w:rPr>
          <w:rFonts w:eastAsia="Calibri"/>
          <w:lang w:eastAsia="uk-UA"/>
        </w:rPr>
        <w:t xml:space="preserve">», з 01.09.2017 по цей час я працюю в </w:t>
      </w:r>
      <w:r w:rsidR="00083331">
        <w:rPr>
          <w:rFonts w:eastAsia="Calibri"/>
          <w:lang w:eastAsia="uk-UA"/>
        </w:rPr>
        <w:t>____________________________________________</w:t>
      </w:r>
      <w:r w:rsidRPr="00366E81">
        <w:rPr>
          <w:rFonts w:eastAsia="Calibri"/>
          <w:lang w:eastAsia="uk-UA"/>
        </w:rPr>
        <w:t>, що підтверджується довідкою ОК-5 та трудовою книжкою БТ-ІІ №</w:t>
      </w:r>
      <w:r w:rsidR="00083331">
        <w:rPr>
          <w:rFonts w:eastAsia="Calibri"/>
          <w:lang w:eastAsia="uk-UA"/>
        </w:rPr>
        <w:t>номер</w:t>
      </w:r>
      <w:r w:rsidRPr="00366E81">
        <w:rPr>
          <w:rFonts w:eastAsia="Calibri"/>
          <w:lang w:eastAsia="uk-UA"/>
        </w:rPr>
        <w:t xml:space="preserve">, </w:t>
      </w:r>
    </w:p>
    <w:p w:rsidR="00295897" w:rsidRPr="00366E81" w:rsidRDefault="00C00F30" w:rsidP="00BB1175">
      <w:pPr>
        <w:ind w:firstLine="709"/>
        <w:jc w:val="both"/>
        <w:rPr>
          <w:rFonts w:eastAsia="Calibri"/>
          <w:lang w:eastAsia="uk-UA"/>
        </w:rPr>
      </w:pPr>
      <w:r w:rsidRPr="00366E81">
        <w:rPr>
          <w:rFonts w:eastAsia="Calibri"/>
          <w:lang w:eastAsia="uk-UA"/>
        </w:rPr>
        <w:t>Ознайомившись з документами, що маються в виконавчому проваджені в електронному вигляді, де знаходилась і податкова вимога вимогу про сплату боргу (недоїмки) від, зазначену вимогу від Вас в паперовому вигляді</w:t>
      </w:r>
      <w:r w:rsidR="00BB1175" w:rsidRPr="00366E81">
        <w:rPr>
          <w:rFonts w:eastAsia="Calibri"/>
          <w:lang w:eastAsia="uk-UA"/>
        </w:rPr>
        <w:t xml:space="preserve"> я не отримувала, в</w:t>
      </w:r>
      <w:r w:rsidR="005473F6" w:rsidRPr="00366E81">
        <w:rPr>
          <w:rFonts w:eastAsia="Calibri"/>
          <w:lang w:eastAsia="uk-UA"/>
        </w:rPr>
        <w:t>ідповідач, належним чином не повідомив мене про існування зазначеного боргу</w:t>
      </w:r>
      <w:r w:rsidR="00BB1175" w:rsidRPr="00366E81">
        <w:rPr>
          <w:rFonts w:eastAsia="Calibri"/>
          <w:lang w:eastAsia="uk-UA"/>
        </w:rPr>
        <w:t>. К</w:t>
      </w:r>
      <w:r w:rsidR="005473F6" w:rsidRPr="00366E81">
        <w:rPr>
          <w:rFonts w:eastAsia="Calibri"/>
          <w:lang w:eastAsia="uk-UA"/>
        </w:rPr>
        <w:t xml:space="preserve">рім того, на даний час Дніпропетровським окружним адміністративним судом розглядається </w:t>
      </w:r>
      <w:r w:rsidR="00295897" w:rsidRPr="00366E81">
        <w:rPr>
          <w:rFonts w:eastAsia="Calibri"/>
          <w:lang w:eastAsia="uk-UA"/>
        </w:rPr>
        <w:t>справа №</w:t>
      </w:r>
      <w:r w:rsidR="00083331">
        <w:rPr>
          <w:rFonts w:eastAsia="Calibri"/>
          <w:lang w:eastAsia="uk-UA"/>
        </w:rPr>
        <w:t>номер справи</w:t>
      </w:r>
      <w:r w:rsidR="00295897" w:rsidRPr="00366E81">
        <w:rPr>
          <w:rFonts w:eastAsia="Calibri"/>
          <w:lang w:eastAsia="uk-UA"/>
        </w:rPr>
        <w:t xml:space="preserve"> </w:t>
      </w:r>
      <w:r w:rsidR="00ED3A9E" w:rsidRPr="00366E81">
        <w:rPr>
          <w:rFonts w:eastAsia="Calibri"/>
          <w:lang w:eastAsia="uk-UA"/>
        </w:rPr>
        <w:lastRenderedPageBreak/>
        <w:t xml:space="preserve">за моїм позовом про визнання </w:t>
      </w:r>
      <w:r w:rsidR="009376E6" w:rsidRPr="00366E81">
        <w:rPr>
          <w:rFonts w:eastAsia="Calibri"/>
          <w:lang w:eastAsia="uk-UA"/>
        </w:rPr>
        <w:t>про</w:t>
      </w:r>
      <w:r w:rsidR="00ED3A9E" w:rsidRPr="00366E81">
        <w:rPr>
          <w:rFonts w:eastAsia="Calibri"/>
          <w:lang w:eastAsia="uk-UA"/>
        </w:rPr>
        <w:t>типравною та скасува</w:t>
      </w:r>
      <w:r w:rsidR="009376E6" w:rsidRPr="00366E81">
        <w:rPr>
          <w:rFonts w:eastAsia="Calibri"/>
          <w:lang w:eastAsia="uk-UA"/>
        </w:rPr>
        <w:t xml:space="preserve">ння </w:t>
      </w:r>
      <w:r w:rsidR="00ED3A9E" w:rsidRPr="00366E81">
        <w:rPr>
          <w:rFonts w:eastAsia="Calibri"/>
          <w:lang w:eastAsia="uk-UA"/>
        </w:rPr>
        <w:t>вимог</w:t>
      </w:r>
      <w:r w:rsidR="009376E6" w:rsidRPr="00366E81">
        <w:rPr>
          <w:rFonts w:eastAsia="Calibri"/>
          <w:lang w:eastAsia="uk-UA"/>
        </w:rPr>
        <w:t>и</w:t>
      </w:r>
      <w:r w:rsidR="00ED3A9E" w:rsidRPr="00366E81">
        <w:rPr>
          <w:rFonts w:eastAsia="Calibri"/>
          <w:lang w:eastAsia="uk-UA"/>
        </w:rPr>
        <w:t xml:space="preserve"> Головного управління ДПС у Дніпропетровській області про сплату боргу (недоїмки) № Ф</w:t>
      </w:r>
      <w:r w:rsidR="00083331">
        <w:rPr>
          <w:rFonts w:eastAsia="Calibri"/>
          <w:lang w:eastAsia="uk-UA"/>
        </w:rPr>
        <w:t xml:space="preserve"> номер</w:t>
      </w:r>
      <w:r w:rsidR="00ED3A9E" w:rsidRPr="00366E81">
        <w:rPr>
          <w:rFonts w:eastAsia="Calibri"/>
          <w:lang w:eastAsia="uk-UA"/>
        </w:rPr>
        <w:t xml:space="preserve"> від </w:t>
      </w:r>
      <w:r w:rsidR="00083331">
        <w:rPr>
          <w:rFonts w:eastAsia="Calibri"/>
          <w:lang w:eastAsia="uk-UA"/>
        </w:rPr>
        <w:t>дата</w:t>
      </w:r>
      <w:r w:rsidR="00ED3A9E" w:rsidRPr="00366E81">
        <w:rPr>
          <w:rFonts w:eastAsia="Calibri"/>
          <w:lang w:eastAsia="uk-UA"/>
        </w:rPr>
        <w:t xml:space="preserve"> зі сплати єдиного внеску на загальнообов`язкове державне соціальне страхування на суму </w:t>
      </w:r>
      <w:r w:rsidR="00083331">
        <w:rPr>
          <w:rFonts w:eastAsia="Calibri"/>
          <w:lang w:eastAsia="uk-UA"/>
        </w:rPr>
        <w:t>___________</w:t>
      </w:r>
      <w:r w:rsidR="00ED3A9E" w:rsidRPr="00366E81">
        <w:rPr>
          <w:rFonts w:eastAsia="Calibri"/>
          <w:lang w:eastAsia="uk-UA"/>
        </w:rPr>
        <w:t xml:space="preserve"> грн</w:t>
      </w:r>
      <w:r w:rsidR="009376E6" w:rsidRPr="00366E81">
        <w:rPr>
          <w:rFonts w:eastAsia="Calibri"/>
          <w:lang w:eastAsia="uk-UA"/>
        </w:rPr>
        <w:t>.</w:t>
      </w:r>
    </w:p>
    <w:p w:rsidR="00D83329" w:rsidRPr="00366E81" w:rsidRDefault="00415A86" w:rsidP="005473F6">
      <w:pPr>
        <w:ind w:firstLine="709"/>
        <w:jc w:val="both"/>
      </w:pPr>
      <w:r w:rsidRPr="00366E81">
        <w:t>22.08.2023 року в</w:t>
      </w:r>
      <w:r w:rsidR="00A407EB" w:rsidRPr="00366E81">
        <w:t xml:space="preserve">ідповідач звернувся до державної виконавчої служби із заявою щодо примусового </w:t>
      </w:r>
      <w:r w:rsidRPr="00366E81">
        <w:t xml:space="preserve">виконання </w:t>
      </w:r>
      <w:r w:rsidR="002031B9" w:rsidRPr="00366E81">
        <w:t>вимоги Головного управління ДПС у Дніпропетровській області про сплату боргу (недоїмки) № Ф-</w:t>
      </w:r>
      <w:r w:rsidR="00083331">
        <w:t xml:space="preserve">номер </w:t>
      </w:r>
      <w:r w:rsidR="002031B9" w:rsidRPr="00366E81">
        <w:t xml:space="preserve"> від </w:t>
      </w:r>
      <w:r w:rsidR="00083331">
        <w:t>дати</w:t>
      </w:r>
      <w:r w:rsidR="002031B9" w:rsidRPr="00366E81">
        <w:t xml:space="preserve">, в які просив вжити </w:t>
      </w:r>
      <w:r w:rsidR="00D83329" w:rsidRPr="00366E81">
        <w:t>заходи щодо арешту мана (коштів).</w:t>
      </w:r>
    </w:p>
    <w:p w:rsidR="00566A66" w:rsidRPr="00366E81" w:rsidRDefault="00263162" w:rsidP="00566A66">
      <w:pPr>
        <w:ind w:firstLine="709"/>
        <w:jc w:val="both"/>
      </w:pPr>
      <w:r w:rsidRPr="00FE57F3">
        <w:rPr>
          <w:rFonts w:eastAsia="Calibri"/>
          <w:szCs w:val="22"/>
        </w:rPr>
        <w:t xml:space="preserve">Державним виконавцем винесено постанову </w:t>
      </w:r>
      <w:r w:rsidRPr="00FE57F3">
        <w:rPr>
          <w:rFonts w:eastAsia="Times New Roman"/>
          <w:szCs w:val="22"/>
          <w:lang w:eastAsia="ru-RU"/>
        </w:rPr>
        <w:t>№</w:t>
      </w:r>
      <w:r w:rsidR="00083331">
        <w:rPr>
          <w:rFonts w:eastAsia="Times New Roman"/>
          <w:szCs w:val="22"/>
          <w:lang w:eastAsia="ru-RU"/>
        </w:rPr>
        <w:t>00000000</w:t>
      </w:r>
      <w:r w:rsidRPr="00FE57F3">
        <w:rPr>
          <w:rFonts w:eastAsia="Times New Roman"/>
          <w:szCs w:val="22"/>
          <w:lang w:eastAsia="ru-RU"/>
        </w:rPr>
        <w:t xml:space="preserve"> від </w:t>
      </w:r>
      <w:r w:rsidR="00083331">
        <w:rPr>
          <w:rFonts w:eastAsia="Times New Roman"/>
          <w:szCs w:val="22"/>
          <w:lang w:eastAsia="ru-RU"/>
        </w:rPr>
        <w:t>дата</w:t>
      </w:r>
      <w:r w:rsidR="006D6048" w:rsidRPr="00FE57F3">
        <w:rPr>
          <w:rFonts w:eastAsia="Times New Roman"/>
          <w:szCs w:val="22"/>
          <w:lang w:eastAsia="ru-RU"/>
        </w:rPr>
        <w:t xml:space="preserve"> </w:t>
      </w:r>
      <w:r w:rsidR="00427907" w:rsidRPr="00FE57F3">
        <w:rPr>
          <w:rFonts w:eastAsia="Calibri"/>
          <w:szCs w:val="22"/>
        </w:rPr>
        <w:t xml:space="preserve">з виконання оспорюваного боргу за недоїмкою </w:t>
      </w:r>
      <w:r w:rsidRPr="00FE57F3">
        <w:rPr>
          <w:rFonts w:eastAsia="Calibri"/>
          <w:szCs w:val="22"/>
        </w:rPr>
        <w:t xml:space="preserve">від </w:t>
      </w:r>
      <w:r w:rsidR="00083331">
        <w:rPr>
          <w:rFonts w:eastAsia="Calibri"/>
          <w:szCs w:val="22"/>
        </w:rPr>
        <w:t>дата</w:t>
      </w:r>
      <w:r w:rsidR="00E6183E" w:rsidRPr="00FE57F3">
        <w:rPr>
          <w:rFonts w:eastAsia="Calibri"/>
          <w:szCs w:val="22"/>
        </w:rPr>
        <w:t xml:space="preserve"> №Ф </w:t>
      </w:r>
      <w:r w:rsidR="00083331">
        <w:rPr>
          <w:rFonts w:eastAsia="Calibri"/>
          <w:szCs w:val="22"/>
        </w:rPr>
        <w:t>номер</w:t>
      </w:r>
      <w:r w:rsidR="00427907" w:rsidRPr="00FE57F3">
        <w:rPr>
          <w:rFonts w:eastAsia="Calibri"/>
          <w:szCs w:val="22"/>
        </w:rPr>
        <w:t xml:space="preserve">, зокрема </w:t>
      </w:r>
      <w:r w:rsidR="00E6183E" w:rsidRPr="00FE57F3">
        <w:rPr>
          <w:rFonts w:eastAsia="Times New Roman"/>
          <w:szCs w:val="22"/>
          <w:lang w:eastAsia="ru-RU"/>
        </w:rPr>
        <w:t>про накладення арештів коштів боржника</w:t>
      </w:r>
      <w:r w:rsidR="00B32623" w:rsidRPr="00FE57F3">
        <w:rPr>
          <w:rFonts w:eastAsia="Times New Roman"/>
          <w:szCs w:val="22"/>
          <w:lang w:eastAsia="ru-RU"/>
        </w:rPr>
        <w:t xml:space="preserve">. </w:t>
      </w:r>
      <w:r w:rsidR="006D6048" w:rsidRPr="00FE57F3">
        <w:rPr>
          <w:rFonts w:eastAsia="Times New Roman"/>
          <w:szCs w:val="22"/>
          <w:lang w:eastAsia="ru-RU"/>
        </w:rPr>
        <w:t>П</w:t>
      </w:r>
      <w:r w:rsidR="00B32623" w:rsidRPr="00FE57F3">
        <w:rPr>
          <w:rFonts w:eastAsia="Times New Roman"/>
          <w:szCs w:val="22"/>
          <w:lang w:eastAsia="ru-RU"/>
        </w:rPr>
        <w:t xml:space="preserve">останова про відкриття виконавчого провадження </w:t>
      </w:r>
      <w:r w:rsidR="007642E7" w:rsidRPr="00FE57F3">
        <w:rPr>
          <w:rFonts w:eastAsia="Calibri"/>
          <w:szCs w:val="22"/>
        </w:rPr>
        <w:t>може</w:t>
      </w:r>
      <w:r w:rsidR="0090297C" w:rsidRPr="00FE57F3">
        <w:rPr>
          <w:rFonts w:eastAsia="Calibri"/>
          <w:szCs w:val="22"/>
        </w:rPr>
        <w:t xml:space="preserve"> бути</w:t>
      </w:r>
      <w:r w:rsidR="00427907" w:rsidRPr="00FE57F3">
        <w:rPr>
          <w:rFonts w:eastAsia="Calibri"/>
          <w:szCs w:val="22"/>
        </w:rPr>
        <w:t xml:space="preserve"> направлена за місцем моєї роботи та поч</w:t>
      </w:r>
      <w:r w:rsidR="0090297C" w:rsidRPr="00FE57F3">
        <w:rPr>
          <w:rFonts w:eastAsia="Calibri"/>
          <w:szCs w:val="22"/>
        </w:rPr>
        <w:t>неться</w:t>
      </w:r>
      <w:r w:rsidR="00427907" w:rsidRPr="00FE57F3">
        <w:rPr>
          <w:rFonts w:eastAsia="Calibri"/>
          <w:szCs w:val="22"/>
        </w:rPr>
        <w:t xml:space="preserve"> стягнення </w:t>
      </w:r>
      <w:r w:rsidR="009B30FD" w:rsidRPr="00FE57F3">
        <w:rPr>
          <w:rFonts w:eastAsia="Calibri"/>
          <w:szCs w:val="22"/>
        </w:rPr>
        <w:t>з моєї зарплати</w:t>
      </w:r>
      <w:r w:rsidR="00427907" w:rsidRPr="00FE57F3">
        <w:rPr>
          <w:rFonts w:eastAsia="Calibri"/>
          <w:szCs w:val="22"/>
        </w:rPr>
        <w:t xml:space="preserve">. З огляду </w:t>
      </w:r>
      <w:r w:rsidR="006D6048" w:rsidRPr="00FE57F3">
        <w:rPr>
          <w:rFonts w:eastAsia="Calibri"/>
          <w:szCs w:val="22"/>
        </w:rPr>
        <w:br/>
      </w:r>
      <w:r w:rsidR="00427907" w:rsidRPr="00FE57F3">
        <w:rPr>
          <w:rFonts w:eastAsia="Calibri"/>
          <w:szCs w:val="22"/>
        </w:rPr>
        <w:t xml:space="preserve">на викладене вважаю за необхідне клопотати перед судом щодо вжиття заходів забезпечення позову шляхом зупинення </w:t>
      </w:r>
      <w:r w:rsidR="00E56F98" w:rsidRPr="00FE57F3">
        <w:rPr>
          <w:rFonts w:eastAsia="Calibri"/>
          <w:szCs w:val="22"/>
        </w:rPr>
        <w:t>примусов</w:t>
      </w:r>
      <w:r w:rsidR="009C52DC" w:rsidRPr="00FE57F3">
        <w:rPr>
          <w:rFonts w:eastAsia="Calibri"/>
          <w:szCs w:val="22"/>
        </w:rPr>
        <w:t>ого</w:t>
      </w:r>
      <w:r w:rsidR="00E56F98" w:rsidRPr="00FE57F3">
        <w:rPr>
          <w:rFonts w:eastAsia="Calibri"/>
          <w:szCs w:val="22"/>
        </w:rPr>
        <w:t xml:space="preserve"> стягнення </w:t>
      </w:r>
      <w:r w:rsidR="00353380" w:rsidRPr="00FE57F3">
        <w:rPr>
          <w:rFonts w:eastAsia="Calibri"/>
          <w:szCs w:val="22"/>
        </w:rPr>
        <w:t xml:space="preserve">боргу (недоїмки) від </w:t>
      </w:r>
      <w:r w:rsidR="00083331">
        <w:rPr>
          <w:rFonts w:eastAsia="Calibri"/>
          <w:szCs w:val="22"/>
        </w:rPr>
        <w:t>дата</w:t>
      </w:r>
      <w:r w:rsidR="00353380" w:rsidRPr="00FE57F3">
        <w:rPr>
          <w:rFonts w:eastAsia="Calibri"/>
          <w:szCs w:val="22"/>
        </w:rPr>
        <w:t xml:space="preserve"> </w:t>
      </w:r>
      <w:r w:rsidR="00E950F1" w:rsidRPr="00FE57F3">
        <w:rPr>
          <w:rFonts w:eastAsia="Calibri"/>
          <w:szCs w:val="22"/>
        </w:rPr>
        <w:br/>
      </w:r>
      <w:r w:rsidR="00353380" w:rsidRPr="00FE57F3">
        <w:rPr>
          <w:rFonts w:eastAsia="Calibri"/>
          <w:szCs w:val="22"/>
        </w:rPr>
        <w:t xml:space="preserve">№Ф </w:t>
      </w:r>
      <w:r w:rsidR="00083331">
        <w:rPr>
          <w:rFonts w:eastAsia="Calibri"/>
          <w:szCs w:val="22"/>
        </w:rPr>
        <w:t>номер</w:t>
      </w:r>
      <w:r w:rsidR="00566A66" w:rsidRPr="00FE57F3">
        <w:rPr>
          <w:rFonts w:eastAsia="Calibri"/>
          <w:szCs w:val="22"/>
        </w:rPr>
        <w:t xml:space="preserve"> у розмірі </w:t>
      </w:r>
      <w:r w:rsidR="00083331">
        <w:rPr>
          <w:rFonts w:eastAsia="Calibri"/>
          <w:szCs w:val="22"/>
        </w:rPr>
        <w:t>сума</w:t>
      </w:r>
      <w:r w:rsidR="00566A66" w:rsidRPr="00FE57F3">
        <w:rPr>
          <w:rFonts w:eastAsia="Calibri"/>
          <w:szCs w:val="22"/>
        </w:rPr>
        <w:t xml:space="preserve"> гривень.</w:t>
      </w:r>
    </w:p>
    <w:p w:rsidR="00C37A96" w:rsidRPr="00366E81" w:rsidRDefault="00BD14C8" w:rsidP="00C37A96">
      <w:pPr>
        <w:ind w:firstLine="709"/>
        <w:jc w:val="both"/>
      </w:pPr>
      <w:r w:rsidRPr="00366E81">
        <w:t>Відповідно до частини 1 </w:t>
      </w:r>
      <w:hyperlink r:id="rId7" w:anchor="1177"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статті 154 Кодексу адміністративного судочинства України</w:t>
        </w:r>
      </w:hyperlink>
      <w:r w:rsidRPr="00366E81">
        <w:t> (далі </w:t>
      </w:r>
      <w:hyperlink r:id="rId8"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КАС України</w:t>
        </w:r>
      </w:hyperlink>
      <w:r w:rsidRPr="00366E81">
        <w:t>) заява про забезпечення позову розглядається судом, у провадженні якого перебуває справа або до якого має бути поданий позов, не пізніше двох днів з дня її надходження, без повідомлення учасників справи.</w:t>
      </w:r>
    </w:p>
    <w:p w:rsidR="00BD14C8" w:rsidRPr="00366E81" w:rsidRDefault="00BD14C8" w:rsidP="00C37A96">
      <w:pPr>
        <w:ind w:firstLine="709"/>
        <w:jc w:val="both"/>
      </w:pPr>
      <w:r w:rsidRPr="00366E81">
        <w:t>Відповідно до частини 2 </w:t>
      </w:r>
      <w:hyperlink r:id="rId9" w:anchor="1138"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статті 150 КАС України</w:t>
        </w:r>
      </w:hyperlink>
      <w:r w:rsidRPr="00366E81">
        <w:t> забезпечення позову допускається як до пред`явлення позову, так і на будь-якій стадії розгляду справи, якщо: невжиття таких заходів може істотно ускладнити чи унеможливити виконання рішення суду або ефективний захист або поновлення порушених чи оспорюваних прав або інтересів позивача, за захистом яких він звернувся або має намір звернутися до суду; або очевидними є ознаки протиправності рішення, дії чи бездіяльності суб`єкта владних повноважень, та порушення прав, свобод або інтересів особи, яка звернулася до суду, таким рішенням, дією або бездіяльністю.</w:t>
      </w:r>
    </w:p>
    <w:p w:rsidR="004F0E8A" w:rsidRPr="00366E81" w:rsidRDefault="00C37A96" w:rsidP="004F0E8A">
      <w:pPr>
        <w:ind w:firstLine="709"/>
        <w:jc w:val="both"/>
        <w:rPr>
          <w:rFonts w:eastAsia="Calibri"/>
          <w:szCs w:val="22"/>
        </w:rPr>
      </w:pPr>
      <w:r w:rsidRPr="00C37A96">
        <w:rPr>
          <w:rFonts w:eastAsia="Calibri"/>
          <w:szCs w:val="22"/>
        </w:rPr>
        <w:t>Тобто, однією із причин, в зв'язку з якими потрібно забезпечити позов, може бути припущення особи щодо обставин, що несуть загрозу невиконання або утруднення виконання можливого рішення.</w:t>
      </w:r>
    </w:p>
    <w:p w:rsidR="004F0E8A" w:rsidRPr="00366E81" w:rsidRDefault="00BD14C8" w:rsidP="004F0E8A">
      <w:pPr>
        <w:ind w:firstLine="709"/>
        <w:jc w:val="both"/>
        <w:rPr>
          <w:rFonts w:eastAsia="Calibri"/>
          <w:szCs w:val="22"/>
        </w:rPr>
      </w:pPr>
      <w:r w:rsidRPr="00366E81">
        <w:t>Відповідно до частини 1 </w:t>
      </w:r>
      <w:hyperlink r:id="rId10" w:anchor="1145"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статті 151 КАС України</w:t>
        </w:r>
      </w:hyperlink>
      <w:r w:rsidRPr="00366E81">
        <w:t> позов може бути забезпечено: зупиненням дії індивідуального акта або нормативно-правового акта; забороною відповідачу вчиняти певні дії; забороною іншим особам вчиняти дії, що стосуються предмета спору; зупиненням стягнення на підставі виконавчого документа або іншого документа, за яким стягнення здійснюється у безспірному порядку.</w:t>
      </w:r>
    </w:p>
    <w:p w:rsidR="004F0E8A" w:rsidRPr="00366E81" w:rsidRDefault="00BD14C8" w:rsidP="004F0E8A">
      <w:pPr>
        <w:ind w:firstLine="709"/>
        <w:jc w:val="both"/>
        <w:rPr>
          <w:rFonts w:eastAsia="Calibri"/>
          <w:szCs w:val="22"/>
        </w:rPr>
      </w:pPr>
      <w:r w:rsidRPr="00366E81">
        <w:t>Відповідно до частини 2 </w:t>
      </w:r>
      <w:hyperlink r:id="rId11" w:anchor="1145"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статті 151 КАС України</w:t>
        </w:r>
      </w:hyperlink>
      <w:r w:rsidRPr="00366E81">
        <w:t xml:space="preserve"> суд може застосувати кілька заходів забезпечення позову. Заходи забезпечення позову мають бути </w:t>
      </w:r>
      <w:proofErr w:type="spellStart"/>
      <w:r w:rsidRPr="00366E81">
        <w:t>співмірними</w:t>
      </w:r>
      <w:proofErr w:type="spellEnd"/>
      <w:r w:rsidRPr="00366E81">
        <w:t xml:space="preserve"> із заявленими позивачем вимогами. Суд також повинен враховувати співвідношення прав (інтересу), про захист яких просить заявник, із наслідками вжиття заходів забезпечення позову для заінтересованих осіб.</w:t>
      </w:r>
    </w:p>
    <w:p w:rsidR="004F0E8A" w:rsidRPr="00083331" w:rsidRDefault="00BD14C8" w:rsidP="00083331">
      <w:pPr>
        <w:ind w:firstLine="709"/>
        <w:jc w:val="both"/>
      </w:pPr>
      <w:r w:rsidRPr="00366E81">
        <w:t>Відповідно до роз`яснень </w:t>
      </w:r>
      <w:hyperlink r:id="rId12" w:tgtFrame="_blank" w:tooltip="Про практику застосування судами цивільного процесуального законодавства при розгляді заяв про забезпечення позову; нормативно-правовий акт № 9 від 22.12.2006, Пленум Верховного Суду України" w:history="1">
        <w:r w:rsidRPr="00366E81">
          <w:rPr>
            <w:rStyle w:val="a3"/>
            <w:color w:val="auto"/>
            <w:u w:val="none"/>
          </w:rPr>
          <w:t xml:space="preserve">Постанови </w:t>
        </w:r>
        <w:r w:rsidR="00083331">
          <w:rPr>
            <w:rFonts w:ascii="Consolas" w:hAnsi="Consolas"/>
            <w:b/>
            <w:bCs/>
            <w:color w:val="212529"/>
            <w:shd w:val="clear" w:color="auto" w:fill="FFFFFF"/>
          </w:rPr>
          <w:t xml:space="preserve"> </w:t>
        </w:r>
        <w:r w:rsidR="00083331" w:rsidRPr="00083331">
          <w:rPr>
            <w:rFonts w:ascii="Consolas" w:hAnsi="Consolas"/>
            <w:bCs/>
            <w:color w:val="212529"/>
            <w:shd w:val="clear" w:color="auto" w:fill="FFFFFF"/>
          </w:rPr>
          <w:t>ПЛЕНУМ</w:t>
        </w:r>
        <w:r w:rsidR="00083331" w:rsidRPr="00083331">
          <w:rPr>
            <w:rFonts w:ascii="Consolas" w:hAnsi="Consolas"/>
            <w:bCs/>
            <w:color w:val="212529"/>
            <w:shd w:val="clear" w:color="auto" w:fill="FFFFFF"/>
          </w:rPr>
          <w:t>У</w:t>
        </w:r>
        <w:r w:rsidR="00083331" w:rsidRPr="00083331">
          <w:rPr>
            <w:rFonts w:ascii="Consolas" w:hAnsi="Consolas"/>
            <w:bCs/>
            <w:color w:val="212529"/>
            <w:shd w:val="clear" w:color="auto" w:fill="FFFFFF"/>
          </w:rPr>
          <w:t xml:space="preserve"> ВИЩОГО АДМІНІСТРАТИВНОГО СУДУ</w:t>
        </w:r>
        <w:r w:rsidR="00083331">
          <w:rPr>
            <w:rFonts w:ascii="Consolas" w:hAnsi="Consolas"/>
            <w:b/>
            <w:bCs/>
            <w:color w:val="212529"/>
            <w:shd w:val="clear" w:color="auto" w:fill="FFFFFF"/>
          </w:rPr>
          <w:t xml:space="preserve"> </w:t>
        </w:r>
        <w:r w:rsidR="00083331" w:rsidRPr="00083331">
          <w:rPr>
            <w:rFonts w:ascii="Consolas" w:hAnsi="Consolas"/>
            <w:bCs/>
            <w:color w:val="212529"/>
            <w:shd w:val="clear" w:color="auto" w:fill="FFFFFF"/>
          </w:rPr>
          <w:t>УКРАЇНИ</w:t>
        </w:r>
        <w:r w:rsidR="00083331">
          <w:rPr>
            <w:rFonts w:ascii="Consolas" w:hAnsi="Consolas"/>
            <w:b/>
            <w:bCs/>
            <w:color w:val="212529"/>
            <w:shd w:val="clear" w:color="auto" w:fill="FFFFFF"/>
          </w:rPr>
          <w:t xml:space="preserve"> </w:t>
        </w:r>
        <w:r w:rsidRPr="00366E81">
          <w:rPr>
            <w:rStyle w:val="a3"/>
            <w:color w:val="auto"/>
            <w:u w:val="none"/>
          </w:rPr>
          <w:t xml:space="preserve"> від </w:t>
        </w:r>
        <w:r w:rsidR="00083331">
          <w:rPr>
            <w:rStyle w:val="a3"/>
            <w:color w:val="auto"/>
            <w:u w:val="none"/>
          </w:rPr>
          <w:t>06 березня</w:t>
        </w:r>
        <w:r w:rsidRPr="00366E81">
          <w:rPr>
            <w:rStyle w:val="a3"/>
            <w:color w:val="auto"/>
            <w:u w:val="none"/>
          </w:rPr>
          <w:t xml:space="preserve"> 200</w:t>
        </w:r>
        <w:r w:rsidR="00083331">
          <w:rPr>
            <w:rStyle w:val="a3"/>
            <w:color w:val="auto"/>
            <w:u w:val="none"/>
          </w:rPr>
          <w:t>8 року № 2</w:t>
        </w:r>
        <w:r w:rsidRPr="00366E81">
          <w:rPr>
            <w:rStyle w:val="a3"/>
            <w:color w:val="auto"/>
            <w:u w:val="none"/>
          </w:rPr>
          <w:t xml:space="preserve"> «</w:t>
        </w:r>
        <w:r w:rsidR="00083331">
          <w:rPr>
            <w:rStyle w:val="a3"/>
            <w:color w:val="auto"/>
            <w:u w:val="none"/>
          </w:rPr>
          <w:t>Про практику застосування</w:t>
        </w:r>
        <w:r w:rsidR="00083331" w:rsidRPr="00083331">
          <w:rPr>
            <w:rStyle w:val="a3"/>
            <w:color w:val="auto"/>
            <w:u w:val="none"/>
          </w:rPr>
          <w:t xml:space="preserve"> адміністрат</w:t>
        </w:r>
        <w:r w:rsidR="00083331">
          <w:rPr>
            <w:rStyle w:val="a3"/>
            <w:color w:val="auto"/>
            <w:u w:val="none"/>
          </w:rPr>
          <w:t xml:space="preserve">ивними судами окремих положення </w:t>
        </w:r>
        <w:r w:rsidR="00083331" w:rsidRPr="00083331">
          <w:rPr>
            <w:rStyle w:val="a3"/>
            <w:color w:val="auto"/>
            <w:u w:val="none"/>
          </w:rPr>
          <w:t>Кодексу адмініс</w:t>
        </w:r>
        <w:r w:rsidR="00083331">
          <w:rPr>
            <w:rStyle w:val="a3"/>
            <w:color w:val="auto"/>
            <w:u w:val="none"/>
          </w:rPr>
          <w:t xml:space="preserve">тративного судочинства України </w:t>
        </w:r>
        <w:r w:rsidR="00083331" w:rsidRPr="00083331">
          <w:rPr>
            <w:rStyle w:val="a3"/>
            <w:color w:val="auto"/>
            <w:u w:val="none"/>
          </w:rPr>
          <w:t>під час розгляду адміністративних справ</w:t>
        </w:r>
        <w:r w:rsidRPr="00366E81">
          <w:rPr>
            <w:rStyle w:val="a3"/>
            <w:color w:val="auto"/>
            <w:u w:val="none"/>
          </w:rPr>
          <w:t>»</w:t>
        </w:r>
      </w:hyperlink>
      <w:r w:rsidRPr="00366E81">
        <w:t> при розгляді заяв про забезпечення позову суд (суддя) має з урахуванням доказів, наданих позивачем на підтвердження своїх вимог, пересвідчитись, зокрема, в тому, що між сторонами дійсно виник спір та існує реальна загроза невиконання чи утруднення виконання можливого рішення суду про задоволення позову; з`ясувати обсяг позовних вимог, дані про особу відповідача, а також відповідність виду забезпечення позову, який просить застосувати особа, котра звернулась з такою заявою, позовним вимогам.</w:t>
      </w:r>
    </w:p>
    <w:p w:rsidR="004F0E8A" w:rsidRPr="00366E81" w:rsidRDefault="00BD14C8" w:rsidP="004F0E8A">
      <w:pPr>
        <w:ind w:firstLine="709"/>
        <w:jc w:val="both"/>
        <w:rPr>
          <w:rFonts w:eastAsia="Calibri"/>
          <w:szCs w:val="22"/>
        </w:rPr>
      </w:pPr>
      <w:r w:rsidRPr="00366E81">
        <w:t>Тобто, інститут забезпечення адміністративного позову є однією з гарантій захисту прав, свобод та законних інтересів юридичних та фізичних осіб - позивачів в адміністративному процесі, механізмом, який покликаний забезпечити реальне та неухильне виконання судового рішення прийнятого в адміністративній справі.</w:t>
      </w:r>
    </w:p>
    <w:p w:rsidR="004F0E8A" w:rsidRPr="00366E81" w:rsidRDefault="00BD14C8" w:rsidP="004F0E8A">
      <w:pPr>
        <w:ind w:firstLine="709"/>
        <w:jc w:val="both"/>
        <w:rPr>
          <w:rFonts w:eastAsia="Calibri"/>
          <w:szCs w:val="22"/>
        </w:rPr>
      </w:pPr>
      <w:r w:rsidRPr="00366E81">
        <w:lastRenderedPageBreak/>
        <w:t xml:space="preserve">При цьому заходи забезпечення мають бути вжиті лише в межах позовних вимог та бути адекватними та </w:t>
      </w:r>
      <w:proofErr w:type="spellStart"/>
      <w:r w:rsidRPr="00366E81">
        <w:t>співмірними</w:t>
      </w:r>
      <w:proofErr w:type="spellEnd"/>
      <w:r w:rsidRPr="00366E81">
        <w:t xml:space="preserve"> з позовними вимогами.</w:t>
      </w:r>
    </w:p>
    <w:p w:rsidR="00FA2595" w:rsidRPr="00366E81" w:rsidRDefault="00BD14C8" w:rsidP="00FA2595">
      <w:pPr>
        <w:ind w:firstLine="709"/>
        <w:jc w:val="both"/>
        <w:rPr>
          <w:rFonts w:eastAsia="Calibri"/>
          <w:szCs w:val="22"/>
        </w:rPr>
      </w:pPr>
      <w:r w:rsidRPr="00366E81">
        <w:t>Співмірність передбачає співвідношення негативних наслідків від вжиття заходів забезпечення позову з тими негативними наслідками, які можуть настати в результаті невжиття цих заходів, з урахуванням відповідності права чи законного інтересу, за захистом яких заявник звертається до суду.</w:t>
      </w:r>
    </w:p>
    <w:p w:rsidR="00FA2595" w:rsidRPr="00366E81" w:rsidRDefault="00BD14C8" w:rsidP="00FA2595">
      <w:pPr>
        <w:ind w:firstLine="709"/>
        <w:jc w:val="both"/>
        <w:rPr>
          <w:rFonts w:eastAsia="Calibri"/>
          <w:szCs w:val="22"/>
        </w:rPr>
      </w:pPr>
      <w:r w:rsidRPr="00366E81">
        <w:t>Для застосування заходів забезпечення адміністративного позову обов`язковою умовою є встановлення судом хоча б однієї із таких обставин: існування очевидної небезпеки заподіяння шкоди правам, свободам та інтересам позивача до ухвалення рішення в адміністративній справі; неможливість захисту прав, свобод та інтересів позивача після набрання законної сили рішенням в адміністративній справі без вжиття таких заходів; необхідність докладання значних зусиль та витрат для відновлення прав позивача у майбутньому; очевидність ознак протиправності рішення, дії чи бездіяльності суб`єкта владних повноважень.</w:t>
      </w:r>
    </w:p>
    <w:p w:rsidR="00623530" w:rsidRPr="00366E81" w:rsidRDefault="00FA2595" w:rsidP="00623530">
      <w:pPr>
        <w:ind w:firstLine="709"/>
        <w:jc w:val="both"/>
        <w:rPr>
          <w:rFonts w:eastAsia="Calibri"/>
          <w:szCs w:val="22"/>
        </w:rPr>
      </w:pPr>
      <w:r w:rsidRPr="00366E81">
        <w:t>Отже,</w:t>
      </w:r>
      <w:r w:rsidR="00BD14C8" w:rsidRPr="00366E81">
        <w:t xml:space="preserve"> у випадку не вжиття судом заходів забезпечення позову, існує очевидна небезпека заподіяння шкоди </w:t>
      </w:r>
      <w:r w:rsidRPr="00366E81">
        <w:t xml:space="preserve">моїм </w:t>
      </w:r>
      <w:r w:rsidR="00BD14C8" w:rsidRPr="00366E81">
        <w:t>правам та інтересам до ухвалення рішення в адміністративній справі, для відновлення яких необхідно буде докласти значних зусиль та витрат.</w:t>
      </w:r>
    </w:p>
    <w:p w:rsidR="00134D48" w:rsidRPr="00366E81" w:rsidRDefault="00623530" w:rsidP="00134D48">
      <w:pPr>
        <w:ind w:firstLine="709"/>
        <w:jc w:val="both"/>
        <w:rPr>
          <w:rFonts w:eastAsia="Calibri"/>
          <w:szCs w:val="22"/>
        </w:rPr>
      </w:pPr>
      <w:r w:rsidRPr="00366E81">
        <w:t>З</w:t>
      </w:r>
      <w:r w:rsidR="00BD14C8" w:rsidRPr="00366E81">
        <w:t>гідно з частиною 1</w:t>
      </w:r>
      <w:hyperlink r:id="rId13" w:anchor="1192" w:tgtFrame="_blank" w:tooltip="Кодекс адміністративного судочинства України (ред. з 15.12.2017); нормативно-правовий акт № 2747-IV від 06.07.2005, ВР України" w:history="1">
        <w:r w:rsidR="00BD14C8" w:rsidRPr="00366E81">
          <w:rPr>
            <w:rStyle w:val="a3"/>
            <w:color w:val="auto"/>
            <w:u w:val="none"/>
          </w:rPr>
          <w:t>статті 156 КАС України</w:t>
        </w:r>
      </w:hyperlink>
      <w:r w:rsidR="00692510">
        <w:t xml:space="preserve"> </w:t>
      </w:r>
      <w:r w:rsidR="00BD14C8" w:rsidRPr="00366E81">
        <w:t>ухвала про забезпечення позову підлягає негайному виконанню з дня її постановлення незалежно від її оскарження і відкриття виконавчого провадження.</w:t>
      </w:r>
    </w:p>
    <w:p w:rsidR="00BD14C8" w:rsidRPr="00366E81" w:rsidRDefault="00BD14C8" w:rsidP="00134D48">
      <w:pPr>
        <w:ind w:firstLine="709"/>
        <w:jc w:val="both"/>
        <w:rPr>
          <w:rFonts w:eastAsia="Calibri"/>
          <w:szCs w:val="22"/>
        </w:rPr>
      </w:pPr>
      <w:r w:rsidRPr="00366E81">
        <w:t>Керуючись статтями</w:t>
      </w:r>
      <w:r w:rsidR="00366E81" w:rsidRPr="00366E81">
        <w:t xml:space="preserve"> </w:t>
      </w:r>
      <w:hyperlink r:id="rId14" w:anchor="1138"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150</w:t>
        </w:r>
      </w:hyperlink>
      <w:r w:rsidRPr="00366E81">
        <w:t> </w:t>
      </w:r>
      <w:hyperlink r:id="rId15" w:anchor="1177"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154</w:t>
        </w:r>
      </w:hyperlink>
      <w:r w:rsidRPr="00366E81">
        <w:t>, </w:t>
      </w:r>
      <w:hyperlink r:id="rId16" w:anchor="1192"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156</w:t>
        </w:r>
      </w:hyperlink>
      <w:hyperlink r:id="rId17" w:anchor="2457" w:tgtFrame="_blank" w:tooltip="Кодекс адміністративного судочинства України (ред. з 15.12.2017); нормативно-правовий акт № 2747-IV від 06.07.2005, ВР України" w:history="1">
        <w:r w:rsidRPr="00366E81">
          <w:rPr>
            <w:rStyle w:val="a3"/>
            <w:color w:val="auto"/>
            <w:u w:val="none"/>
          </w:rPr>
          <w:t xml:space="preserve"> Кодексу адміністративного судочинства України</w:t>
        </w:r>
      </w:hyperlink>
      <w:r w:rsidRPr="00366E81">
        <w:t xml:space="preserve">, </w:t>
      </w:r>
    </w:p>
    <w:p w:rsidR="009C52DC" w:rsidRPr="00366E81" w:rsidRDefault="009C52DC" w:rsidP="009C52DC">
      <w:pPr>
        <w:ind w:firstLine="709"/>
        <w:jc w:val="both"/>
        <w:rPr>
          <w:rFonts w:eastAsia="Calibri"/>
          <w:szCs w:val="22"/>
        </w:rPr>
      </w:pPr>
    </w:p>
    <w:p w:rsidR="009C52DC" w:rsidRPr="00366E81" w:rsidRDefault="0063485A" w:rsidP="009C52DC">
      <w:pPr>
        <w:jc w:val="center"/>
        <w:rPr>
          <w:rFonts w:eastAsia="Calibri"/>
          <w:szCs w:val="22"/>
        </w:rPr>
      </w:pPr>
      <w:r w:rsidRPr="00366E81">
        <w:rPr>
          <w:rFonts w:eastAsia="Calibri"/>
          <w:szCs w:val="22"/>
        </w:rPr>
        <w:t>ПРОШУ:</w:t>
      </w:r>
    </w:p>
    <w:p w:rsidR="009C52DC" w:rsidRPr="00366E81" w:rsidRDefault="009C52DC" w:rsidP="009C52DC">
      <w:pPr>
        <w:ind w:firstLine="709"/>
        <w:jc w:val="both"/>
        <w:rPr>
          <w:rFonts w:eastAsia="Calibri"/>
          <w:szCs w:val="22"/>
        </w:rPr>
      </w:pPr>
    </w:p>
    <w:p w:rsidR="009C52DC" w:rsidRPr="009C52DC" w:rsidRDefault="009C52DC" w:rsidP="009C52DC">
      <w:pPr>
        <w:ind w:firstLine="709"/>
        <w:jc w:val="both"/>
        <w:rPr>
          <w:rFonts w:eastAsia="Calibri"/>
          <w:szCs w:val="22"/>
        </w:rPr>
      </w:pPr>
      <w:r w:rsidRPr="009C52DC">
        <w:rPr>
          <w:rFonts w:eastAsia="Calibri"/>
          <w:szCs w:val="22"/>
        </w:rPr>
        <w:t xml:space="preserve">Зупинити </w:t>
      </w:r>
      <w:r w:rsidR="00305E08">
        <w:rPr>
          <w:rFonts w:eastAsia="Calibri"/>
          <w:szCs w:val="22"/>
        </w:rPr>
        <w:t xml:space="preserve">вчинення виконавчих дій щодо </w:t>
      </w:r>
      <w:r w:rsidR="00577350">
        <w:rPr>
          <w:rFonts w:eastAsia="Calibri"/>
          <w:szCs w:val="22"/>
        </w:rPr>
        <w:t xml:space="preserve">виконання </w:t>
      </w:r>
      <w:r w:rsidR="00577350" w:rsidRPr="00366E81">
        <w:rPr>
          <w:rFonts w:eastAsia="Calibri"/>
          <w:szCs w:val="22"/>
        </w:rPr>
        <w:t xml:space="preserve">вимоги Головного управління ДПС у Дніпропетровській області про сплату боргу (недоїмки) від </w:t>
      </w:r>
      <w:r w:rsidR="008E0C2B">
        <w:rPr>
          <w:rFonts w:eastAsia="Calibri"/>
          <w:szCs w:val="22"/>
        </w:rPr>
        <w:t>дата</w:t>
      </w:r>
      <w:r w:rsidR="00577350" w:rsidRPr="00366E81">
        <w:rPr>
          <w:rFonts w:eastAsia="Calibri"/>
          <w:szCs w:val="22"/>
        </w:rPr>
        <w:t xml:space="preserve"> № Ф </w:t>
      </w:r>
      <w:r w:rsidR="008E0C2B">
        <w:rPr>
          <w:rFonts w:eastAsia="Calibri"/>
          <w:szCs w:val="22"/>
        </w:rPr>
        <w:t>номер</w:t>
      </w:r>
      <w:r w:rsidR="0031038D">
        <w:rPr>
          <w:rFonts w:eastAsia="Calibri"/>
          <w:szCs w:val="22"/>
        </w:rPr>
        <w:t>,</w:t>
      </w:r>
      <w:r w:rsidR="00577350" w:rsidRPr="009C52DC">
        <w:rPr>
          <w:rFonts w:eastAsia="Calibri"/>
          <w:szCs w:val="22"/>
        </w:rPr>
        <w:t xml:space="preserve"> </w:t>
      </w:r>
      <w:r w:rsidR="00D95E17">
        <w:rPr>
          <w:rFonts w:eastAsia="Calibri"/>
          <w:szCs w:val="22"/>
        </w:rPr>
        <w:t>за якою відкрито</w:t>
      </w:r>
      <w:r w:rsidRPr="009C52DC">
        <w:rPr>
          <w:rFonts w:eastAsia="Calibri"/>
          <w:szCs w:val="22"/>
        </w:rPr>
        <w:t xml:space="preserve"> виконавч</w:t>
      </w:r>
      <w:r w:rsidR="00D95E17">
        <w:rPr>
          <w:rFonts w:eastAsia="Calibri"/>
          <w:szCs w:val="22"/>
        </w:rPr>
        <w:t>е</w:t>
      </w:r>
      <w:r w:rsidRPr="009C52DC">
        <w:rPr>
          <w:rFonts w:eastAsia="Calibri"/>
          <w:szCs w:val="22"/>
        </w:rPr>
        <w:t xml:space="preserve"> провадженн</w:t>
      </w:r>
      <w:r w:rsidR="00D95E17">
        <w:rPr>
          <w:rFonts w:eastAsia="Calibri"/>
          <w:szCs w:val="22"/>
        </w:rPr>
        <w:t>я</w:t>
      </w:r>
      <w:r w:rsidRPr="009C52DC">
        <w:rPr>
          <w:rFonts w:eastAsia="Calibri"/>
          <w:szCs w:val="22"/>
        </w:rPr>
        <w:t xml:space="preserve"> ВП </w:t>
      </w:r>
      <w:r w:rsidRPr="009C52DC">
        <w:rPr>
          <w:rFonts w:eastAsia="Times New Roman"/>
          <w:szCs w:val="22"/>
          <w:lang w:eastAsia="ru-RU"/>
        </w:rPr>
        <w:t>№</w:t>
      </w:r>
      <w:r w:rsidR="008E0C2B">
        <w:rPr>
          <w:rFonts w:eastAsia="Times New Roman"/>
          <w:szCs w:val="22"/>
          <w:lang w:eastAsia="ru-RU"/>
        </w:rPr>
        <w:t>000000</w:t>
      </w:r>
      <w:r w:rsidR="007A0FAA" w:rsidRPr="00366E81">
        <w:rPr>
          <w:rFonts w:eastAsia="Times New Roman"/>
          <w:szCs w:val="22"/>
          <w:lang w:eastAsia="ru-RU"/>
        </w:rPr>
        <w:t xml:space="preserve"> </w:t>
      </w:r>
      <w:r w:rsidRPr="009C52DC">
        <w:rPr>
          <w:rFonts w:eastAsia="Times New Roman"/>
          <w:szCs w:val="22"/>
          <w:lang w:eastAsia="ru-RU"/>
        </w:rPr>
        <w:t xml:space="preserve">від </w:t>
      </w:r>
      <w:r w:rsidR="008E0C2B">
        <w:rPr>
          <w:rFonts w:eastAsia="Times New Roman"/>
          <w:szCs w:val="22"/>
          <w:lang w:eastAsia="ru-RU"/>
        </w:rPr>
        <w:t>дата</w:t>
      </w:r>
      <w:r w:rsidRPr="009C52DC">
        <w:rPr>
          <w:rFonts w:eastAsia="Times New Roman"/>
          <w:szCs w:val="22"/>
          <w:lang w:eastAsia="ru-RU"/>
        </w:rPr>
        <w:t xml:space="preserve"> року</w:t>
      </w:r>
      <w:r w:rsidRPr="009C52DC">
        <w:rPr>
          <w:rFonts w:eastAsia="Calibri"/>
          <w:szCs w:val="22"/>
        </w:rPr>
        <w:t xml:space="preserve">, </w:t>
      </w:r>
      <w:r w:rsidR="00D95E17">
        <w:rPr>
          <w:rFonts w:eastAsia="Calibri"/>
          <w:szCs w:val="22"/>
        </w:rPr>
        <w:t xml:space="preserve">яке </w:t>
      </w:r>
      <w:r w:rsidRPr="009C52DC">
        <w:rPr>
          <w:rFonts w:eastAsia="Calibri"/>
          <w:szCs w:val="22"/>
        </w:rPr>
        <w:t>відкрит</w:t>
      </w:r>
      <w:r w:rsidR="00D95E17">
        <w:rPr>
          <w:rFonts w:eastAsia="Calibri"/>
          <w:szCs w:val="22"/>
        </w:rPr>
        <w:t>е</w:t>
      </w:r>
      <w:r w:rsidRPr="009C52DC">
        <w:rPr>
          <w:rFonts w:eastAsia="Calibri"/>
          <w:szCs w:val="22"/>
        </w:rPr>
        <w:t xml:space="preserve"> </w:t>
      </w:r>
      <w:r w:rsidR="007A0FAA" w:rsidRPr="00366E81">
        <w:rPr>
          <w:rFonts w:eastAsia="Calibri"/>
          <w:szCs w:val="22"/>
        </w:rPr>
        <w:t>державним</w:t>
      </w:r>
      <w:r w:rsidRPr="009C52DC">
        <w:rPr>
          <w:rFonts w:eastAsia="Calibri"/>
          <w:szCs w:val="22"/>
        </w:rPr>
        <w:t xml:space="preserve"> виконавцем </w:t>
      </w:r>
      <w:r w:rsidR="007A0FAA" w:rsidRPr="00366E81">
        <w:rPr>
          <w:rFonts w:eastAsia="Calibri"/>
          <w:szCs w:val="22"/>
        </w:rPr>
        <w:t xml:space="preserve">Дніпровського відділу державної виконавчої служби у місті Кам’янське Кам’янського району Дніпропетровської області Південного міжрегіонального управління Міністерства юстиції (м. Одеса) </w:t>
      </w:r>
      <w:r w:rsidR="008E0C2B">
        <w:rPr>
          <w:rFonts w:eastAsia="Calibri"/>
          <w:szCs w:val="22"/>
        </w:rPr>
        <w:t>ПІП</w:t>
      </w:r>
      <w:r w:rsidRPr="009C52DC">
        <w:rPr>
          <w:rFonts w:eastAsia="Calibri"/>
          <w:szCs w:val="22"/>
        </w:rPr>
        <w:t>, до завершення розгляду даної справи судом та набранням рішенням суду законної сили.</w:t>
      </w:r>
    </w:p>
    <w:p w:rsidR="00C60492" w:rsidRPr="00366E81" w:rsidRDefault="00C60492" w:rsidP="009C52DC"/>
    <w:p w:rsidR="00234DE9" w:rsidRPr="00366E81" w:rsidRDefault="00234DE9" w:rsidP="009C52DC"/>
    <w:p w:rsidR="00234DE9" w:rsidRPr="00366E81" w:rsidRDefault="00234DE9" w:rsidP="009C52DC">
      <w:r w:rsidRPr="00366E81">
        <w:t>Додаток:</w:t>
      </w:r>
    </w:p>
    <w:p w:rsidR="00234DE9" w:rsidRPr="00366E81" w:rsidRDefault="00234DE9" w:rsidP="00234DE9">
      <w:pPr>
        <w:pStyle w:val="a8"/>
        <w:numPr>
          <w:ilvl w:val="0"/>
          <w:numId w:val="1"/>
        </w:numPr>
      </w:pPr>
      <w:r w:rsidRPr="00366E81">
        <w:t>Копія паспорта та РНОКПП</w:t>
      </w:r>
    </w:p>
    <w:p w:rsidR="00234DE9" w:rsidRPr="00366E81" w:rsidRDefault="00234DE9" w:rsidP="00234DE9">
      <w:pPr>
        <w:pStyle w:val="a8"/>
        <w:numPr>
          <w:ilvl w:val="0"/>
          <w:numId w:val="1"/>
        </w:numPr>
      </w:pPr>
      <w:r w:rsidRPr="00366E81">
        <w:t>Копія постанови про відкриття виконавчого провадження</w:t>
      </w:r>
    </w:p>
    <w:p w:rsidR="00234DE9" w:rsidRPr="00366E81" w:rsidRDefault="00234DE9" w:rsidP="00234DE9">
      <w:pPr>
        <w:pStyle w:val="a8"/>
        <w:numPr>
          <w:ilvl w:val="0"/>
          <w:numId w:val="1"/>
        </w:numPr>
      </w:pPr>
      <w:r w:rsidRPr="00366E81">
        <w:t>Копія постанови про арешт коштів боржника</w:t>
      </w:r>
    </w:p>
    <w:p w:rsidR="00234DE9" w:rsidRPr="00366E81" w:rsidRDefault="000547D8" w:rsidP="00234DE9">
      <w:pPr>
        <w:pStyle w:val="a8"/>
        <w:numPr>
          <w:ilvl w:val="0"/>
          <w:numId w:val="1"/>
        </w:numPr>
      </w:pPr>
      <w:r w:rsidRPr="00366E81">
        <w:t xml:space="preserve">Копія заяви </w:t>
      </w:r>
    </w:p>
    <w:p w:rsidR="000547D8" w:rsidRDefault="003A52D0" w:rsidP="00234DE9">
      <w:pPr>
        <w:pStyle w:val="a8"/>
        <w:numPr>
          <w:ilvl w:val="0"/>
          <w:numId w:val="1"/>
        </w:numPr>
      </w:pPr>
      <w:r w:rsidRPr="00366E81">
        <w:t>Копія витягу з Єдиного державного реєстру адвокатів.</w:t>
      </w:r>
    </w:p>
    <w:p w:rsidR="00CE7B8E" w:rsidRDefault="00CE7B8E" w:rsidP="00CE7B8E"/>
    <w:p w:rsidR="00CE7B8E" w:rsidRDefault="00CE7B8E" w:rsidP="00CE7B8E"/>
    <w:p w:rsidR="00CE7B8E" w:rsidRDefault="00CE7B8E" w:rsidP="00CE7B8E"/>
    <w:p w:rsidR="00CE7B8E" w:rsidRPr="00366E81" w:rsidRDefault="008E0C2B" w:rsidP="00CE7B8E">
      <w:r>
        <w:t>дата</w:t>
      </w:r>
      <w:bookmarkStart w:id="0" w:name="_GoBack"/>
      <w:bookmarkEnd w:id="0"/>
      <w:r w:rsidR="00CE7B8E">
        <w:tab/>
      </w:r>
      <w:r w:rsidR="00CE7B8E">
        <w:tab/>
      </w:r>
      <w:r w:rsidR="00CE7B8E">
        <w:tab/>
      </w:r>
      <w:r w:rsidR="00CE7B8E">
        <w:tab/>
      </w:r>
      <w:r w:rsidR="00CE7B8E">
        <w:tab/>
      </w:r>
      <w:r w:rsidR="00CE7B8E">
        <w:tab/>
      </w:r>
      <w:r w:rsidR="00CE7B8E">
        <w:tab/>
      </w:r>
      <w:r w:rsidR="00CE7B8E">
        <w:tab/>
      </w:r>
      <w:r w:rsidR="00CE7B8E">
        <w:tab/>
      </w:r>
      <w:r>
        <w:t>ПІП</w:t>
      </w:r>
    </w:p>
    <w:sectPr w:rsidR="00CE7B8E" w:rsidRPr="00366E81" w:rsidSect="00BF1CE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36FFC"/>
    <w:multiLevelType w:val="hybridMultilevel"/>
    <w:tmpl w:val="1048E966"/>
    <w:lvl w:ilvl="0" w:tplc="8014F582">
      <w:start w:val="22"/>
      <w:numFmt w:val="bullet"/>
      <w:lvlText w:val="-"/>
      <w:lvlJc w:val="left"/>
      <w:pPr>
        <w:ind w:left="720" w:hanging="360"/>
      </w:pPr>
      <w:rPr>
        <w:rFonts w:ascii="Times New Roman" w:eastAsia="DejaVu San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4C8"/>
    <w:rsid w:val="000547D8"/>
    <w:rsid w:val="00083331"/>
    <w:rsid w:val="00134D48"/>
    <w:rsid w:val="00194A52"/>
    <w:rsid w:val="002031B9"/>
    <w:rsid w:val="00234DE9"/>
    <w:rsid w:val="00263162"/>
    <w:rsid w:val="0028169D"/>
    <w:rsid w:val="00295897"/>
    <w:rsid w:val="00305E08"/>
    <w:rsid w:val="0031038D"/>
    <w:rsid w:val="00353380"/>
    <w:rsid w:val="00366E81"/>
    <w:rsid w:val="003A52D0"/>
    <w:rsid w:val="00415A86"/>
    <w:rsid w:val="00427907"/>
    <w:rsid w:val="004F0E8A"/>
    <w:rsid w:val="005473F6"/>
    <w:rsid w:val="00566A66"/>
    <w:rsid w:val="00577350"/>
    <w:rsid w:val="00623530"/>
    <w:rsid w:val="0063485A"/>
    <w:rsid w:val="00663AD5"/>
    <w:rsid w:val="00692510"/>
    <w:rsid w:val="006D6048"/>
    <w:rsid w:val="006F2861"/>
    <w:rsid w:val="007642E7"/>
    <w:rsid w:val="00765C50"/>
    <w:rsid w:val="00765E58"/>
    <w:rsid w:val="00790F07"/>
    <w:rsid w:val="007A0FAA"/>
    <w:rsid w:val="007B15D6"/>
    <w:rsid w:val="008E0C2B"/>
    <w:rsid w:val="0090297C"/>
    <w:rsid w:val="00930D03"/>
    <w:rsid w:val="009376E6"/>
    <w:rsid w:val="0096178A"/>
    <w:rsid w:val="009B30FD"/>
    <w:rsid w:val="009C52DC"/>
    <w:rsid w:val="00A407EB"/>
    <w:rsid w:val="00A71B85"/>
    <w:rsid w:val="00AD7650"/>
    <w:rsid w:val="00B168B5"/>
    <w:rsid w:val="00B32623"/>
    <w:rsid w:val="00B94D0A"/>
    <w:rsid w:val="00BB1175"/>
    <w:rsid w:val="00BD14C8"/>
    <w:rsid w:val="00BD5FAC"/>
    <w:rsid w:val="00BF1CE1"/>
    <w:rsid w:val="00C00F30"/>
    <w:rsid w:val="00C262FD"/>
    <w:rsid w:val="00C37A96"/>
    <w:rsid w:val="00C60492"/>
    <w:rsid w:val="00CA206B"/>
    <w:rsid w:val="00CB10A7"/>
    <w:rsid w:val="00CE34E3"/>
    <w:rsid w:val="00CE7B8E"/>
    <w:rsid w:val="00D83329"/>
    <w:rsid w:val="00D95E17"/>
    <w:rsid w:val="00DB57EA"/>
    <w:rsid w:val="00DD2788"/>
    <w:rsid w:val="00DE26B0"/>
    <w:rsid w:val="00E56F98"/>
    <w:rsid w:val="00E6183E"/>
    <w:rsid w:val="00E950F1"/>
    <w:rsid w:val="00E96F81"/>
    <w:rsid w:val="00EB5BFB"/>
    <w:rsid w:val="00EC3630"/>
    <w:rsid w:val="00EC7BD4"/>
    <w:rsid w:val="00ED3A9E"/>
    <w:rsid w:val="00FA2595"/>
    <w:rsid w:val="00FE5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0D5B"/>
  <w15:docId w15:val="{024963F2-0741-419C-89EC-819FE522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Times New Roman"/>
        <w:sz w:val="24"/>
        <w:szCs w:val="24"/>
        <w:lang w:val="uk-U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4C8"/>
    <w:rPr>
      <w:color w:val="0000FF" w:themeColor="hyperlink"/>
      <w:u w:val="single"/>
    </w:rPr>
  </w:style>
  <w:style w:type="paragraph" w:styleId="a4">
    <w:name w:val="Balloon Text"/>
    <w:basedOn w:val="a"/>
    <w:link w:val="a5"/>
    <w:uiPriority w:val="99"/>
    <w:semiHidden/>
    <w:unhideWhenUsed/>
    <w:rsid w:val="00BD14C8"/>
    <w:rPr>
      <w:rFonts w:ascii="Tahoma" w:hAnsi="Tahoma" w:cs="Tahoma"/>
      <w:sz w:val="16"/>
      <w:szCs w:val="16"/>
    </w:rPr>
  </w:style>
  <w:style w:type="character" w:customStyle="1" w:styleId="a5">
    <w:name w:val="Текст выноски Знак"/>
    <w:basedOn w:val="a0"/>
    <w:link w:val="a4"/>
    <w:uiPriority w:val="99"/>
    <w:semiHidden/>
    <w:rsid w:val="00BD14C8"/>
    <w:rPr>
      <w:rFonts w:ascii="Tahoma" w:hAnsi="Tahoma" w:cs="Tahoma"/>
      <w:sz w:val="16"/>
      <w:szCs w:val="16"/>
    </w:rPr>
  </w:style>
  <w:style w:type="paragraph" w:styleId="a6">
    <w:name w:val="Normal (Web)"/>
    <w:basedOn w:val="a"/>
    <w:uiPriority w:val="99"/>
    <w:unhideWhenUsed/>
    <w:rsid w:val="00BD14C8"/>
    <w:pPr>
      <w:spacing w:before="100" w:beforeAutospacing="1" w:after="100" w:afterAutospacing="1"/>
    </w:pPr>
    <w:rPr>
      <w:rFonts w:eastAsia="Times New Roman"/>
      <w:lang w:val="ru-RU" w:eastAsia="ru-RU"/>
    </w:rPr>
  </w:style>
  <w:style w:type="table" w:styleId="a7">
    <w:name w:val="Table Grid"/>
    <w:basedOn w:val="a1"/>
    <w:uiPriority w:val="59"/>
    <w:rsid w:val="00BD14C8"/>
    <w:pPr>
      <w:ind w:firstLine="851"/>
    </w:pPr>
    <w:rPr>
      <w:rFonts w:eastAsiaTheme="minorHAnsi"/>
      <w:color w:val="00000A"/>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34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3_06_28/pravo1/T05_2747.html?pravo=1" TargetMode="External"/><Relationship Id="rId13" Type="http://schemas.openxmlformats.org/officeDocument/2006/relationships/hyperlink" Target="http://search.ligazakon.ua/l_doc2.nsf/link1/an_1192/ed_2023_06_28/pravo1/T05_2747.html?prav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ch.ligazakon.ua/l_doc2.nsf/link1/an_1177/ed_2023_06_28/pravo1/T05_2747.html?pravo=1" TargetMode="External"/><Relationship Id="rId12" Type="http://schemas.openxmlformats.org/officeDocument/2006/relationships/hyperlink" Target="http://search.ligazakon.ua/l_doc2.nsf/link1/ed_2006_12_22/pravo1/VS06431.html?pravo=1" TargetMode="External"/><Relationship Id="rId17" Type="http://schemas.openxmlformats.org/officeDocument/2006/relationships/hyperlink" Target="http://search.ligazakon.ua/l_doc2.nsf/link1/an_2457/ed_2023_06_28/pravo1/T05_2747.html?pravo=1" TargetMode="External"/><Relationship Id="rId2" Type="http://schemas.openxmlformats.org/officeDocument/2006/relationships/styles" Target="styles.xml"/><Relationship Id="rId16" Type="http://schemas.openxmlformats.org/officeDocument/2006/relationships/hyperlink" Target="http://search.ligazakon.ua/l_doc2.nsf/link1/an_1192/ed_2023_06_28/pravo1/T05_2747.html?pravo=1" TargetMode="External"/><Relationship Id="rId1" Type="http://schemas.openxmlformats.org/officeDocument/2006/relationships/numbering" Target="numbering.xml"/><Relationship Id="rId6" Type="http://schemas.openxmlformats.org/officeDocument/2006/relationships/hyperlink" Target="http://search.ligazakon.ua/l_doc2.nsf/link1/an_277/ed_2020_03_04/pravo1/T125076.html?pravo=1" TargetMode="External"/><Relationship Id="rId11" Type="http://schemas.openxmlformats.org/officeDocument/2006/relationships/hyperlink" Target="http://search.ligazakon.ua/l_doc2.nsf/link1/an_1145/ed_2023_06_28/pravo1/T05_2747.html?pravo=1" TargetMode="External"/><Relationship Id="rId5" Type="http://schemas.openxmlformats.org/officeDocument/2006/relationships/hyperlink" Target="http://search.ligazakon.ua/l_doc2.nsf/link1/an_909/ed_2020_06_03/pravo1/T102464.html?pravo=1" TargetMode="External"/><Relationship Id="rId15" Type="http://schemas.openxmlformats.org/officeDocument/2006/relationships/hyperlink" Target="http://search.ligazakon.ua/l_doc2.nsf/link1/an_1177/ed_2023_06_28/pravo1/T05_2747.html?pravo=1" TargetMode="External"/><Relationship Id="rId10" Type="http://schemas.openxmlformats.org/officeDocument/2006/relationships/hyperlink" Target="http://search.ligazakon.ua/l_doc2.nsf/link1/an_1145/ed_2023_06_28/pravo1/T05_2747.html?pravo=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an_1138/ed_2023_06_28/pravo1/T05_2747.html?pravo=1" TargetMode="External"/><Relationship Id="rId14" Type="http://schemas.openxmlformats.org/officeDocument/2006/relationships/hyperlink" Target="http://search.ligazakon.ua/l_doc2.nsf/link1/an_1138/ed_2023_06_28/pravo1/T05_27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1855</Words>
  <Characters>10574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2023-09-12T10:31:00Z</cp:lastPrinted>
  <dcterms:created xsi:type="dcterms:W3CDTF">2023-12-26T08:15:00Z</dcterms:created>
  <dcterms:modified xsi:type="dcterms:W3CDTF">2023-12-26T08:15:00Z</dcterms:modified>
</cp:coreProperties>
</file>