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0E0570" w:rsidRPr="003515C3" w:rsidTr="00FB26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570" w:rsidRPr="009C59BD" w:rsidRDefault="009C59BD" w:rsidP="007A28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620" w:rsidRDefault="00B45620" w:rsidP="00EC6DDF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lang w:val="uk-UA" w:eastAsia="zh-CN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lang w:val="uk-UA" w:eastAsia="zh-CN"/>
              </w:rPr>
              <w:t xml:space="preserve">До </w:t>
            </w:r>
            <w:r w:rsidR="00EC6DDF">
              <w:rPr>
                <w:rFonts w:eastAsia="Times New Roman" w:cs="Times New Roman"/>
                <w:b/>
                <w:color w:val="000000"/>
                <w:sz w:val="28"/>
                <w:lang w:val="uk-UA" w:eastAsia="zh-CN"/>
              </w:rPr>
              <w:t>Дніпровського апеляційного суду</w:t>
            </w:r>
          </w:p>
          <w:p w:rsidR="00EC6DDF" w:rsidRDefault="00EC6DDF" w:rsidP="00EC6DDF">
            <w:pPr>
              <w:spacing w:after="0"/>
            </w:pPr>
            <w:r>
              <w:rPr>
                <w:color w:val="000000"/>
                <w:sz w:val="27"/>
                <w:szCs w:val="27"/>
              </w:rPr>
              <w:t>м. Дніпро, вул. Харківська, буд.13</w:t>
            </w:r>
          </w:p>
          <w:p w:rsidR="002B70C8" w:rsidRPr="00B45620" w:rsidRDefault="002B70C8" w:rsidP="002B70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0E0570" w:rsidRPr="00D55CBE" w:rsidTr="00FB26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570" w:rsidRPr="003515C3" w:rsidRDefault="008D2027" w:rsidP="007A28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</w:t>
            </w:r>
            <w:r w:rsidR="000E0570" w:rsidRPr="00351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B13D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B1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ОБА 1,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р.н.;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51473, Дніпропетровська обл., Павлоградський район, с. Межиріч;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0000000000;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та номер паспорта: 00000000;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відсутня;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000000000. </w:t>
            </w:r>
          </w:p>
          <w:p w:rsidR="00B45620" w:rsidRPr="003515C3" w:rsidRDefault="00B45620" w:rsidP="008D2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0570" w:rsidRPr="008262A4" w:rsidTr="00FB26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570" w:rsidRPr="003515C3" w:rsidRDefault="008D2027" w:rsidP="007A28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</w:t>
            </w:r>
            <w:r w:rsidR="00EC6D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(апелянт)</w:t>
            </w:r>
            <w:r w:rsidR="000E0570" w:rsidRPr="00351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B13D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ОБА 2</w:t>
            </w:r>
            <w:r w:rsidRPr="004B1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р.н.;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Адреса: 51473, Дніпропетровська обл., Павлоградський район, с. Межиріч;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0000000000;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пошта: відсутня;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4B13D4" w:rsidRPr="004B13D4" w:rsidRDefault="004B13D4" w:rsidP="004B1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000000000. </w:t>
            </w:r>
          </w:p>
          <w:p w:rsidR="008D2027" w:rsidRPr="00386FC1" w:rsidRDefault="008D2027" w:rsidP="008D2027">
            <w:pPr>
              <w:pStyle w:val="d1eee4e5f0e6e8eceee5f2e0e1ebe8f6fb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21ED0" w:rsidRDefault="00321ED0">
      <w:pPr>
        <w:rPr>
          <w:lang w:val="uk-UA"/>
        </w:rPr>
      </w:pPr>
    </w:p>
    <w:p w:rsidR="008262A4" w:rsidRPr="00D120DD" w:rsidRDefault="00954ED5" w:rsidP="00E64BA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20DD">
        <w:rPr>
          <w:rFonts w:ascii="Times New Roman" w:hAnsi="Times New Roman" w:cs="Times New Roman"/>
          <w:sz w:val="24"/>
          <w:szCs w:val="24"/>
          <w:lang w:val="uk-UA"/>
        </w:rPr>
        <w:t xml:space="preserve">Справа </w:t>
      </w:r>
      <w:r w:rsidR="00F66C09" w:rsidRPr="00D120D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B13D4">
        <w:rPr>
          <w:rFonts w:ascii="Times New Roman" w:hAnsi="Times New Roman" w:cs="Times New Roman"/>
          <w:sz w:val="28"/>
          <w:szCs w:val="28"/>
          <w:lang w:val="uk-UA"/>
        </w:rPr>
        <w:t>185/0000</w:t>
      </w:r>
      <w:r w:rsidR="008D2027" w:rsidRPr="008D2027">
        <w:rPr>
          <w:rFonts w:ascii="Times New Roman" w:hAnsi="Times New Roman" w:cs="Times New Roman"/>
          <w:sz w:val="28"/>
          <w:szCs w:val="28"/>
          <w:lang w:val="uk-UA"/>
        </w:rPr>
        <w:t>/19</w:t>
      </w:r>
    </w:p>
    <w:p w:rsidR="00E64BA2" w:rsidRDefault="008262A4" w:rsidP="00E64B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20DD">
        <w:rPr>
          <w:rFonts w:ascii="Times New Roman" w:hAnsi="Times New Roman" w:cs="Times New Roman"/>
          <w:sz w:val="24"/>
          <w:szCs w:val="24"/>
          <w:lang w:val="uk-UA"/>
        </w:rPr>
        <w:t>Суддя</w:t>
      </w:r>
      <w:r w:rsidR="00D120DD" w:rsidRPr="00D120DD">
        <w:rPr>
          <w:rFonts w:ascii="Times New Roman" w:hAnsi="Times New Roman" w:cs="Times New Roman"/>
          <w:sz w:val="24"/>
          <w:szCs w:val="24"/>
          <w:lang w:val="uk-UA"/>
        </w:rPr>
        <w:t xml:space="preserve"> у 1-й інстанції: </w:t>
      </w:r>
      <w:r w:rsidR="008D2027" w:rsidRPr="008D2027">
        <w:rPr>
          <w:rFonts w:ascii="Times New Roman" w:hAnsi="Times New Roman" w:cs="Times New Roman"/>
          <w:sz w:val="28"/>
          <w:szCs w:val="28"/>
          <w:lang w:val="uk-UA"/>
        </w:rPr>
        <w:t>Бондаренко В.М</w:t>
      </w:r>
      <w:r w:rsidR="008D20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20DD" w:rsidRPr="00D120DD" w:rsidRDefault="008D2027" w:rsidP="00E64B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color w:val="000000"/>
          <w:sz w:val="27"/>
          <w:szCs w:val="27"/>
          <w:lang w:val="uk-UA"/>
        </w:rPr>
        <w:t xml:space="preserve">Головуючий </w:t>
      </w:r>
      <w:r>
        <w:rPr>
          <w:b/>
          <w:color w:val="000000"/>
          <w:sz w:val="27"/>
          <w:szCs w:val="27"/>
        </w:rPr>
        <w:t>с</w:t>
      </w:r>
      <w:r w:rsidR="00D120DD" w:rsidRPr="00D120DD">
        <w:rPr>
          <w:b/>
          <w:color w:val="000000"/>
          <w:sz w:val="27"/>
          <w:szCs w:val="27"/>
        </w:rPr>
        <w:t xml:space="preserve">уддя у 2-й інстанції </w:t>
      </w:r>
      <w:r>
        <w:rPr>
          <w:b/>
          <w:color w:val="000000"/>
          <w:sz w:val="27"/>
          <w:szCs w:val="27"/>
        </w:rPr>
        <w:t>–</w:t>
      </w:r>
      <w:r w:rsidR="00D120DD" w:rsidRPr="00D120DD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  <w:lang w:val="uk-UA"/>
        </w:rPr>
        <w:t>Єлізаренко І.А</w:t>
      </w:r>
      <w:r w:rsidR="00D120DD" w:rsidRPr="00D120DD">
        <w:rPr>
          <w:b/>
          <w:color w:val="000000"/>
          <w:sz w:val="27"/>
          <w:szCs w:val="27"/>
        </w:rPr>
        <w:t>.</w:t>
      </w:r>
    </w:p>
    <w:p w:rsidR="00D120DD" w:rsidRDefault="00D120DD" w:rsidP="00D120DD">
      <w:pPr>
        <w:spacing w:after="0"/>
        <w:rPr>
          <w:lang w:val="uk-UA"/>
        </w:rPr>
      </w:pPr>
    </w:p>
    <w:p w:rsidR="00D120DD" w:rsidRDefault="00D120DD" w:rsidP="00D120DD">
      <w:pPr>
        <w:spacing w:after="0"/>
        <w:rPr>
          <w:lang w:val="uk-UA"/>
        </w:rPr>
      </w:pPr>
    </w:p>
    <w:p w:rsidR="00D120DD" w:rsidRDefault="00D120DD" w:rsidP="00D120DD">
      <w:pPr>
        <w:spacing w:after="0"/>
        <w:rPr>
          <w:lang w:val="uk-UA"/>
        </w:rPr>
      </w:pPr>
    </w:p>
    <w:p w:rsidR="00D120DD" w:rsidRDefault="00D120DD" w:rsidP="00D120DD">
      <w:pPr>
        <w:spacing w:after="0"/>
        <w:rPr>
          <w:lang w:val="uk-UA"/>
        </w:rPr>
      </w:pPr>
    </w:p>
    <w:p w:rsidR="00D120DD" w:rsidRDefault="00D120DD" w:rsidP="00D120DD">
      <w:pPr>
        <w:spacing w:after="0"/>
        <w:rPr>
          <w:lang w:val="uk-UA"/>
        </w:rPr>
      </w:pPr>
    </w:p>
    <w:p w:rsidR="00D120DD" w:rsidRDefault="0055492E" w:rsidP="00D1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A27">
        <w:rPr>
          <w:rFonts w:ascii="Times New Roman" w:hAnsi="Times New Roman" w:cs="Times New Roman"/>
          <w:b/>
          <w:sz w:val="28"/>
          <w:szCs w:val="28"/>
          <w:lang w:val="uk-UA"/>
        </w:rPr>
        <w:t>ВІДЗИВ</w:t>
      </w:r>
    </w:p>
    <w:p w:rsidR="00D120DD" w:rsidRPr="00D120DD" w:rsidRDefault="00D120DD" w:rsidP="00D12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D120DD">
        <w:rPr>
          <w:rFonts w:ascii="Times New Roman" w:hAnsi="Times New Roman" w:cs="Times New Roman"/>
          <w:b/>
          <w:sz w:val="28"/>
          <w:szCs w:val="28"/>
        </w:rPr>
        <w:t xml:space="preserve">апеляційну скаргу </w:t>
      </w:r>
    </w:p>
    <w:p w:rsidR="00D120DD" w:rsidRPr="008D2027" w:rsidRDefault="00D120DD" w:rsidP="00D120DD">
      <w:pPr>
        <w:ind w:left="709"/>
        <w:jc w:val="center"/>
        <w:rPr>
          <w:i/>
          <w:color w:val="000000"/>
          <w:sz w:val="27"/>
          <w:szCs w:val="27"/>
          <w:lang w:val="uk-UA"/>
        </w:rPr>
      </w:pPr>
      <w:r w:rsidRPr="008D2027">
        <w:rPr>
          <w:i/>
          <w:color w:val="000000"/>
          <w:sz w:val="27"/>
          <w:szCs w:val="27"/>
        </w:rPr>
        <w:t xml:space="preserve">на рішення </w:t>
      </w:r>
      <w:r w:rsidR="008D2027" w:rsidRPr="008D2027">
        <w:rPr>
          <w:i/>
          <w:color w:val="000000"/>
          <w:sz w:val="27"/>
          <w:szCs w:val="27"/>
          <w:lang w:val="uk-UA"/>
        </w:rPr>
        <w:t>Павлоградського</w:t>
      </w:r>
      <w:r w:rsidRPr="008D2027">
        <w:rPr>
          <w:i/>
          <w:color w:val="000000"/>
          <w:sz w:val="27"/>
          <w:szCs w:val="27"/>
        </w:rPr>
        <w:t xml:space="preserve"> </w:t>
      </w:r>
      <w:r w:rsidR="008D2027" w:rsidRPr="008D2027">
        <w:rPr>
          <w:i/>
          <w:color w:val="000000"/>
          <w:sz w:val="27"/>
          <w:szCs w:val="27"/>
          <w:lang w:val="uk-UA"/>
        </w:rPr>
        <w:t>міськ</w:t>
      </w:r>
      <w:r w:rsidRPr="008D2027">
        <w:rPr>
          <w:i/>
          <w:color w:val="000000"/>
          <w:sz w:val="27"/>
          <w:szCs w:val="27"/>
        </w:rPr>
        <w:t>районного суду</w:t>
      </w:r>
      <w:r w:rsidRPr="008D2027">
        <w:rPr>
          <w:i/>
          <w:color w:val="000000"/>
          <w:sz w:val="27"/>
          <w:szCs w:val="27"/>
          <w:lang w:val="uk-UA"/>
        </w:rPr>
        <w:t xml:space="preserve"> </w:t>
      </w:r>
      <w:r w:rsidR="004B13D4">
        <w:rPr>
          <w:i/>
          <w:color w:val="000000"/>
          <w:sz w:val="27"/>
          <w:szCs w:val="27"/>
        </w:rPr>
        <w:t>Дніпропетровської області від 00.</w:t>
      </w:r>
      <w:r w:rsidR="004B13D4">
        <w:rPr>
          <w:i/>
          <w:color w:val="000000"/>
          <w:sz w:val="27"/>
          <w:szCs w:val="27"/>
          <w:lang w:val="uk-UA"/>
        </w:rPr>
        <w:t>00</w:t>
      </w:r>
      <w:r w:rsidR="004B13D4">
        <w:rPr>
          <w:i/>
          <w:color w:val="000000"/>
          <w:sz w:val="27"/>
          <w:szCs w:val="27"/>
        </w:rPr>
        <w:t>.</w:t>
      </w:r>
      <w:r w:rsidRPr="008D2027">
        <w:rPr>
          <w:i/>
          <w:color w:val="000000"/>
          <w:sz w:val="27"/>
          <w:szCs w:val="27"/>
        </w:rPr>
        <w:t>20</w:t>
      </w:r>
      <w:r w:rsidR="008D2027" w:rsidRPr="008D2027">
        <w:rPr>
          <w:i/>
          <w:color w:val="000000"/>
          <w:sz w:val="27"/>
          <w:szCs w:val="27"/>
        </w:rPr>
        <w:t>20 року у справі про стягнення боргу за договором оренди землі</w:t>
      </w:r>
    </w:p>
    <w:p w:rsidR="00C003DD" w:rsidRPr="002B70C8" w:rsidRDefault="00C003DD" w:rsidP="00D12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0DD" w:rsidRPr="00D120DD" w:rsidRDefault="00FB26D6" w:rsidP="00D120D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20DD">
        <w:rPr>
          <w:rFonts w:ascii="Times New Roman" w:hAnsi="Times New Roman" w:cs="Times New Roman"/>
          <w:sz w:val="28"/>
          <w:szCs w:val="28"/>
          <w:lang w:val="uk-UA"/>
        </w:rPr>
        <w:t>В провадженні</w:t>
      </w:r>
      <w:r w:rsidR="00311E7F"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0DD" w:rsidRPr="00D12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Дніпровського апеляційного суду</w:t>
      </w:r>
      <w:r w:rsidR="00D120DD"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0DD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E0417D"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 цивільна</w:t>
      </w:r>
      <w:r w:rsidR="00F66C09"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 справа №</w:t>
      </w:r>
      <w:r w:rsidR="004B13D4">
        <w:rPr>
          <w:rFonts w:ascii="Times New Roman" w:hAnsi="Times New Roman" w:cs="Times New Roman"/>
          <w:sz w:val="28"/>
          <w:szCs w:val="28"/>
          <w:lang w:val="uk-UA"/>
        </w:rPr>
        <w:t>185/0000</w:t>
      </w:r>
      <w:r w:rsidR="008D2027" w:rsidRPr="008D2027">
        <w:rPr>
          <w:rFonts w:ascii="Times New Roman" w:hAnsi="Times New Roman" w:cs="Times New Roman"/>
          <w:sz w:val="28"/>
          <w:szCs w:val="28"/>
          <w:lang w:val="uk-UA"/>
        </w:rPr>
        <w:t>/19</w:t>
      </w:r>
      <w:r w:rsidR="008D2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120DD" w:rsidRPr="00D120DD">
        <w:rPr>
          <w:rFonts w:ascii="Times New Roman" w:hAnsi="Times New Roman" w:cs="Times New Roman"/>
          <w:sz w:val="28"/>
          <w:szCs w:val="28"/>
          <w:lang w:val="uk-UA"/>
        </w:rPr>
        <w:t>апеляційною скаргою</w:t>
      </w:r>
      <w:r w:rsidRPr="00D12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3D4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="008D2027" w:rsidRPr="008D20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</w:rPr>
        <w:t xml:space="preserve">на рішення </w:t>
      </w:r>
      <w:r w:rsidR="008D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Павлоградського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</w:rPr>
        <w:t>районного суду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3D4">
        <w:rPr>
          <w:rFonts w:ascii="Times New Roman" w:hAnsi="Times New Roman" w:cs="Times New Roman"/>
          <w:color w:val="000000"/>
          <w:sz w:val="28"/>
          <w:szCs w:val="28"/>
        </w:rPr>
        <w:t>Дніпропетровської області від 00.00.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</w:rPr>
        <w:t>2020 року у справі про стягнення заборгованості</w:t>
      </w:r>
      <w:r w:rsidR="00D120DD" w:rsidRPr="00D120D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26D6" w:rsidRPr="00191A90" w:rsidRDefault="00E0417D" w:rsidP="00D120D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91A90">
        <w:rPr>
          <w:color w:val="181E1F"/>
          <w:sz w:val="28"/>
          <w:szCs w:val="28"/>
          <w:shd w:val="clear" w:color="auto" w:fill="FFFFFF"/>
          <w:lang w:val="uk-UA"/>
        </w:rPr>
        <w:lastRenderedPageBreak/>
        <w:t>Вважаю,</w:t>
      </w:r>
      <w:r w:rsidR="00FB26D6" w:rsidRPr="00191A90">
        <w:rPr>
          <w:color w:val="181E1F"/>
          <w:sz w:val="28"/>
          <w:szCs w:val="28"/>
          <w:shd w:val="clear" w:color="auto" w:fill="FFFFFF"/>
          <w:lang w:val="uk-UA"/>
        </w:rPr>
        <w:t xml:space="preserve"> 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 xml:space="preserve">що </w:t>
      </w:r>
      <w:r w:rsidR="00457BB8">
        <w:rPr>
          <w:rStyle w:val="aa"/>
          <w:bCs w:val="0"/>
          <w:color w:val="1C1C1C"/>
          <w:sz w:val="28"/>
          <w:szCs w:val="28"/>
          <w:lang w:val="uk-UA"/>
        </w:rPr>
        <w:t>апеляційна скарга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 xml:space="preserve"> </w:t>
      </w:r>
      <w:r w:rsidR="008D2027">
        <w:rPr>
          <w:rStyle w:val="aa"/>
          <w:bCs w:val="0"/>
          <w:color w:val="1C1C1C"/>
          <w:sz w:val="28"/>
          <w:szCs w:val="28"/>
          <w:lang w:val="uk-UA"/>
        </w:rPr>
        <w:t>Відповідача</w:t>
      </w:r>
      <w:r w:rsidR="00FB26D6" w:rsidRPr="00D120DD">
        <w:rPr>
          <w:rStyle w:val="aa"/>
          <w:bCs w:val="0"/>
          <w:color w:val="1C1C1C"/>
          <w:sz w:val="28"/>
          <w:szCs w:val="28"/>
          <w:lang w:val="uk-UA"/>
        </w:rPr>
        <w:t xml:space="preserve"> є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 xml:space="preserve"> </w:t>
      </w:r>
      <w:r w:rsidR="00457BB8" w:rsidRPr="00191A90">
        <w:rPr>
          <w:rStyle w:val="aa"/>
          <w:bCs w:val="0"/>
          <w:color w:val="1C1C1C"/>
          <w:sz w:val="28"/>
          <w:szCs w:val="28"/>
          <w:lang w:val="uk-UA"/>
        </w:rPr>
        <w:t>безпідставною та необґрунтованою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 xml:space="preserve">, а тому необхідно відмовити в </w:t>
      </w:r>
      <w:r w:rsidR="00457BB8">
        <w:rPr>
          <w:rStyle w:val="aa"/>
          <w:bCs w:val="0"/>
          <w:color w:val="1C1C1C"/>
          <w:sz w:val="28"/>
          <w:szCs w:val="28"/>
          <w:lang w:val="uk-UA"/>
        </w:rPr>
        <w:t xml:space="preserve">її </w:t>
      </w:r>
      <w:r w:rsidR="007A283C" w:rsidRPr="00191A90">
        <w:rPr>
          <w:rStyle w:val="aa"/>
          <w:bCs w:val="0"/>
          <w:color w:val="1C1C1C"/>
          <w:sz w:val="28"/>
          <w:szCs w:val="28"/>
          <w:lang w:val="uk-UA"/>
        </w:rPr>
        <w:t>задоволе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 xml:space="preserve">ні </w:t>
      </w:r>
      <w:r w:rsidR="00191A90">
        <w:rPr>
          <w:rStyle w:val="aa"/>
          <w:bCs w:val="0"/>
          <w:color w:val="1C1C1C"/>
          <w:sz w:val="28"/>
          <w:szCs w:val="28"/>
          <w:lang w:val="uk-UA"/>
        </w:rPr>
        <w:t xml:space="preserve"> </w:t>
      </w:r>
      <w:r w:rsidR="00FB26D6" w:rsidRPr="00191A90">
        <w:rPr>
          <w:rStyle w:val="aa"/>
          <w:bCs w:val="0"/>
          <w:color w:val="1C1C1C"/>
          <w:sz w:val="28"/>
          <w:szCs w:val="28"/>
          <w:lang w:val="uk-UA"/>
        </w:rPr>
        <w:t>повному обсязі, з наступних підстав:</w:t>
      </w:r>
    </w:p>
    <w:p w:rsidR="00311E7F" w:rsidRPr="006A78E7" w:rsidRDefault="00311E7F" w:rsidP="006A78E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61A82" w:rsidRPr="006A78E7" w:rsidRDefault="008D2027" w:rsidP="006A78E7">
      <w:pPr>
        <w:pStyle w:val="a5"/>
        <w:spacing w:before="0" w:beforeAutospacing="0" w:after="0" w:afterAutospacing="0"/>
        <w:ind w:firstLine="850"/>
        <w:jc w:val="both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  <w:lang w:val="uk-UA"/>
        </w:rPr>
        <w:t>Відповідач</w:t>
      </w:r>
      <w:r w:rsidR="007A283C" w:rsidRPr="006A78E7">
        <w:rPr>
          <w:b/>
          <w:color w:val="1C1C1C"/>
          <w:sz w:val="28"/>
          <w:szCs w:val="28"/>
        </w:rPr>
        <w:t xml:space="preserve">, в обґрунтування заявлених вимог </w:t>
      </w:r>
      <w:r w:rsidR="00474B99" w:rsidRPr="006A78E7">
        <w:rPr>
          <w:b/>
          <w:color w:val="1C1C1C"/>
          <w:sz w:val="28"/>
          <w:szCs w:val="28"/>
        </w:rPr>
        <w:t>посилається на такі обставини та докази:</w:t>
      </w:r>
    </w:p>
    <w:p w:rsidR="00062110" w:rsidRPr="00062110" w:rsidRDefault="00E864CE" w:rsidP="00062110">
      <w:pPr>
        <w:pStyle w:val="a5"/>
        <w:numPr>
          <w:ilvl w:val="0"/>
          <w:numId w:val="34"/>
        </w:numPr>
        <w:spacing w:before="120" w:beforeAutospacing="0" w:after="0" w:afterAutospac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Неповне з</w:t>
      </w:r>
      <w:r w:rsidRPr="00E864CE">
        <w:rPr>
          <w:color w:val="1C1C1C"/>
          <w:sz w:val="28"/>
          <w:szCs w:val="28"/>
        </w:rPr>
        <w:t>’</w:t>
      </w:r>
      <w:r>
        <w:rPr>
          <w:color w:val="1C1C1C"/>
          <w:sz w:val="28"/>
          <w:szCs w:val="28"/>
          <w:lang w:val="uk-UA"/>
        </w:rPr>
        <w:t>ясування обставин справи, що мають значення для справи.</w:t>
      </w:r>
    </w:p>
    <w:p w:rsidR="00E864CE" w:rsidRDefault="00E864CE" w:rsidP="00E864CE">
      <w:pPr>
        <w:pStyle w:val="a5"/>
        <w:numPr>
          <w:ilvl w:val="0"/>
          <w:numId w:val="35"/>
        </w:numPr>
        <w:spacing w:before="120" w:beforeAutospacing="0" w:after="0" w:afterAutospac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Відповідач, стверджує, що добровіл</w:t>
      </w:r>
      <w:r w:rsidR="004B13D4">
        <w:rPr>
          <w:color w:val="1C1C1C"/>
          <w:sz w:val="28"/>
          <w:szCs w:val="28"/>
          <w:lang w:val="uk-UA"/>
        </w:rPr>
        <w:t>ьно звільнив земельну ділянку 00.00</w:t>
      </w:r>
      <w:r>
        <w:rPr>
          <w:color w:val="1C1C1C"/>
          <w:sz w:val="28"/>
          <w:szCs w:val="28"/>
          <w:lang w:val="uk-UA"/>
        </w:rPr>
        <w:t>.2017 року і сповістив про це мене листом. Ці пояснення були розглянуті Судом першої інстанції, Відповідач неодноразово посилався на ці пояснення в судовому засіданні, аудіозапис якого фіксувався.</w:t>
      </w:r>
      <w:r w:rsidR="00C0618D">
        <w:rPr>
          <w:color w:val="1C1C1C"/>
          <w:sz w:val="28"/>
          <w:szCs w:val="28"/>
          <w:lang w:val="uk-UA"/>
        </w:rPr>
        <w:t xml:space="preserve"> Однак Відповідач не надав достатніх, належних та допустимих доказів, що підтверджують факт звільнення спірної земельної ділянки. Направлення листа-сповіщення не може підтвердити таку обставину.</w:t>
      </w:r>
    </w:p>
    <w:p w:rsidR="00062110" w:rsidRDefault="00C0618D" w:rsidP="00062110">
      <w:pPr>
        <w:pStyle w:val="a5"/>
        <w:spacing w:before="120" w:beforeAutospacing="0" w:after="0" w:afterAutospacing="0"/>
        <w:ind w:left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  <w:t>Однак, мною було доведено, той факт, що Відповідач продовжував користуватися земельною ділянкою. Більш того, він відмовлявся її залишати та розривати договір оренди про що заявляв в іншому су</w:t>
      </w:r>
      <w:r w:rsidR="004B13D4">
        <w:rPr>
          <w:color w:val="1C1C1C"/>
          <w:sz w:val="28"/>
          <w:szCs w:val="28"/>
          <w:lang w:val="uk-UA"/>
        </w:rPr>
        <w:t>довому процесі (справа №185/0000</w:t>
      </w:r>
      <w:r>
        <w:rPr>
          <w:color w:val="1C1C1C"/>
          <w:sz w:val="28"/>
          <w:szCs w:val="28"/>
          <w:lang w:val="uk-UA"/>
        </w:rPr>
        <w:t>/17). При роз</w:t>
      </w:r>
      <w:r w:rsidR="004B13D4">
        <w:rPr>
          <w:color w:val="1C1C1C"/>
          <w:sz w:val="28"/>
          <w:szCs w:val="28"/>
          <w:lang w:val="uk-UA"/>
        </w:rPr>
        <w:t>гляді цивільної справи №185/0000</w:t>
      </w:r>
      <w:r>
        <w:rPr>
          <w:color w:val="1C1C1C"/>
          <w:sz w:val="28"/>
          <w:szCs w:val="28"/>
          <w:lang w:val="uk-UA"/>
        </w:rPr>
        <w:t>/17, розгляд якої завершився тільки 29.11.2017 року було встановлено ряд обставин, які не підлягають доказуванню в силу норм ЦПК України. А саме:</w:t>
      </w:r>
    </w:p>
    <w:p w:rsidR="00062110" w:rsidRDefault="00C0618D" w:rsidP="00062110">
      <w:pPr>
        <w:pStyle w:val="a5"/>
        <w:numPr>
          <w:ilvl w:val="0"/>
          <w:numId w:val="37"/>
        </w:numPr>
        <w:spacing w:before="120" w:beforeAutospacing="0" w:after="0" w:afterAutospacing="0"/>
        <w:jc w:val="both"/>
        <w:rPr>
          <w:color w:val="1C1C1C"/>
          <w:sz w:val="28"/>
          <w:szCs w:val="28"/>
          <w:lang w:val="uk-UA"/>
        </w:rPr>
      </w:pPr>
      <w:r>
        <w:rPr>
          <w:color w:val="000000"/>
          <w:sz w:val="27"/>
          <w:szCs w:val="27"/>
        </w:rPr>
        <w:t xml:space="preserve">Спір між сторонами виник з приводу подальшого користування вищезазначеною земельною ділянкою, </w:t>
      </w:r>
      <w:r w:rsidRPr="00C0618D">
        <w:rPr>
          <w:b/>
          <w:color w:val="000000"/>
          <w:sz w:val="27"/>
          <w:szCs w:val="27"/>
        </w:rPr>
        <w:t>так як відповідач не погоджується на розірвання договору оренди землі в досудовому порядку</w:t>
      </w:r>
    </w:p>
    <w:p w:rsidR="00062110" w:rsidRDefault="00D011C2" w:rsidP="00062110">
      <w:pPr>
        <w:pStyle w:val="a5"/>
        <w:numPr>
          <w:ilvl w:val="0"/>
          <w:numId w:val="37"/>
        </w:numPr>
        <w:spacing w:before="120" w:beforeAutospacing="0" w:after="0" w:afterAutospacing="0"/>
        <w:jc w:val="both"/>
        <w:rPr>
          <w:color w:val="1C1C1C"/>
          <w:sz w:val="28"/>
          <w:szCs w:val="28"/>
          <w:lang w:val="uk-UA"/>
        </w:rPr>
      </w:pPr>
      <w:r w:rsidRPr="00062110">
        <w:rPr>
          <w:b/>
          <w:color w:val="1C1C1C"/>
          <w:sz w:val="28"/>
          <w:szCs w:val="28"/>
          <w:lang w:val="uk-UA"/>
        </w:rPr>
        <w:t>Крім того, рішенням суду по вищевказаній справі було розірвано спірний договір.</w:t>
      </w:r>
    </w:p>
    <w:p w:rsidR="00062110" w:rsidRDefault="00D011C2" w:rsidP="00062110">
      <w:pPr>
        <w:pStyle w:val="a5"/>
        <w:numPr>
          <w:ilvl w:val="0"/>
          <w:numId w:val="37"/>
        </w:numPr>
        <w:spacing w:before="120" w:beforeAutospacing="0" w:after="0" w:afterAutospacing="0"/>
        <w:jc w:val="both"/>
        <w:rPr>
          <w:color w:val="1C1C1C"/>
          <w:sz w:val="28"/>
          <w:szCs w:val="28"/>
          <w:lang w:val="uk-UA"/>
        </w:rPr>
      </w:pPr>
      <w:r w:rsidRPr="00062110">
        <w:rPr>
          <w:b/>
          <w:color w:val="1C1C1C"/>
          <w:sz w:val="28"/>
          <w:szCs w:val="28"/>
          <w:lang w:val="uk-UA"/>
        </w:rPr>
        <w:t>Однак, Відповідач не погодився з цим рішенням, та відмовився залишати мою земельну ділянку, тому направив апеляційну скаргу.</w:t>
      </w:r>
    </w:p>
    <w:p w:rsidR="002175AE" w:rsidRPr="002175AE" w:rsidRDefault="00D011C2" w:rsidP="002175AE">
      <w:pPr>
        <w:pStyle w:val="a5"/>
        <w:spacing w:before="120" w:beforeAutospacing="0" w:after="0" w:afterAutospacing="0"/>
        <w:ind w:left="1440"/>
        <w:jc w:val="both"/>
        <w:rPr>
          <w:sz w:val="28"/>
          <w:szCs w:val="28"/>
          <w:lang w:val="uk-UA"/>
        </w:rPr>
      </w:pPr>
      <w:r w:rsidRPr="00062110">
        <w:rPr>
          <w:b/>
          <w:color w:val="1C1C1C"/>
          <w:sz w:val="28"/>
          <w:szCs w:val="28"/>
          <w:lang w:val="uk-UA"/>
        </w:rPr>
        <w:t xml:space="preserve">Рішенням Дніпровського апеляційного суду </w:t>
      </w:r>
      <w:r w:rsidR="00062110" w:rsidRPr="00062110">
        <w:rPr>
          <w:b/>
          <w:color w:val="1C1C1C"/>
          <w:sz w:val="28"/>
          <w:szCs w:val="28"/>
          <w:lang w:val="uk-UA"/>
        </w:rPr>
        <w:t xml:space="preserve">від </w:t>
      </w:r>
      <w:r w:rsidR="00062110" w:rsidRPr="00062110">
        <w:rPr>
          <w:b/>
          <w:sz w:val="28"/>
          <w:szCs w:val="28"/>
          <w:lang w:val="uk-UA"/>
        </w:rPr>
        <w:t xml:space="preserve">14.06.2018 року </w:t>
      </w:r>
      <w:r w:rsidR="00062110" w:rsidRPr="00062110">
        <w:rPr>
          <w:sz w:val="28"/>
          <w:szCs w:val="28"/>
          <w:lang w:val="uk-UA"/>
        </w:rPr>
        <w:t>рішення Павлоградського суду залишено без змін.</w:t>
      </w:r>
    </w:p>
    <w:p w:rsidR="00062110" w:rsidRDefault="00062110" w:rsidP="00062110">
      <w:pPr>
        <w:pStyle w:val="a5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до цього терміну Відповідач не повернув земельну ділянку мені.</w:t>
      </w:r>
    </w:p>
    <w:p w:rsidR="00E864CE" w:rsidRDefault="00E864CE" w:rsidP="00E864CE">
      <w:pPr>
        <w:pStyle w:val="a5"/>
        <w:spacing w:before="0" w:beforeAutospacing="0" w:after="0" w:afterAutospacing="0"/>
        <w:jc w:val="both"/>
        <w:rPr>
          <w:color w:val="1C1C1C"/>
          <w:sz w:val="28"/>
          <w:szCs w:val="28"/>
          <w:lang w:val="uk-UA"/>
        </w:rPr>
      </w:pPr>
    </w:p>
    <w:p w:rsidR="002175AE" w:rsidRDefault="00D539F1" w:rsidP="002175AE">
      <w:pPr>
        <w:pStyle w:val="a5"/>
        <w:numPr>
          <w:ilvl w:val="0"/>
          <w:numId w:val="6"/>
        </w:numPr>
        <w:spacing w:before="0" w:beforeAutospacing="0" w:after="0" w:afterAutospacing="0"/>
        <w:ind w:hanging="357"/>
        <w:jc w:val="both"/>
        <w:rPr>
          <w:b/>
          <w:color w:val="1C1C1C"/>
          <w:sz w:val="28"/>
          <w:szCs w:val="28"/>
          <w:lang w:val="uk-UA"/>
        </w:rPr>
      </w:pPr>
      <w:r w:rsidRPr="006A78E7">
        <w:rPr>
          <w:b/>
          <w:color w:val="1C1C1C"/>
          <w:sz w:val="28"/>
          <w:szCs w:val="28"/>
          <w:lang w:val="uk-UA"/>
        </w:rPr>
        <w:t xml:space="preserve">        </w:t>
      </w:r>
      <w:r w:rsidR="002175AE">
        <w:rPr>
          <w:b/>
          <w:color w:val="1C1C1C"/>
          <w:sz w:val="28"/>
          <w:szCs w:val="28"/>
          <w:lang w:val="uk-UA"/>
        </w:rPr>
        <w:t>Відповідач стверджує, що оскільки договір оренди з третьою особою не скасовувався судом, то це доводить ту обставину, що Відповідач не користувався спірною земельною ділянкою.</w:t>
      </w:r>
    </w:p>
    <w:p w:rsidR="002175AE" w:rsidRDefault="002175AE" w:rsidP="002175AE">
      <w:pPr>
        <w:pStyle w:val="a5"/>
        <w:spacing w:before="0" w:beforeAutospacing="0" w:after="0" w:afterAutospacing="0"/>
        <w:ind w:left="72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>Але, судом було встановлено, що:</w:t>
      </w:r>
    </w:p>
    <w:p w:rsidR="002175AE" w:rsidRPr="002175AE" w:rsidRDefault="002175AE" w:rsidP="002175AE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 xml:space="preserve">Між мною та Відповідачем був укладений договір оренди, а також підписаний акт приймання-передачі земельної ділянки, за яким Відповідач отримав її у користування. Розривати договір Відповідач відмовлявся, що підтверджується судовим </w:t>
      </w:r>
      <w:r>
        <w:rPr>
          <w:b/>
          <w:color w:val="1C1C1C"/>
          <w:sz w:val="28"/>
          <w:szCs w:val="28"/>
          <w:lang w:val="uk-UA"/>
        </w:rPr>
        <w:lastRenderedPageBreak/>
        <w:t>процесом по справі №</w:t>
      </w:r>
      <w:r w:rsidR="004B13D4">
        <w:rPr>
          <w:color w:val="1C1C1C"/>
          <w:sz w:val="28"/>
          <w:szCs w:val="28"/>
          <w:lang w:val="uk-UA"/>
        </w:rPr>
        <w:t>185/0000</w:t>
      </w:r>
      <w:r>
        <w:rPr>
          <w:color w:val="1C1C1C"/>
          <w:sz w:val="28"/>
          <w:szCs w:val="28"/>
          <w:lang w:val="uk-UA"/>
        </w:rPr>
        <w:t>/17.  Інший акт приймання передачі Відповідач не підписував. Тобто земельна ділянка знаходилась в користуванні Відповідача. Третя особа з якою був укладений договір, надала довідку, про те, що земельну ділянку не прийняла та фактично нею не користувалася, оскільки земельна ділянка перебувала в користуванні Відповідача.</w:t>
      </w:r>
    </w:p>
    <w:p w:rsidR="002175AE" w:rsidRDefault="002175AE" w:rsidP="002175AE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>Таким чином до 14.06.2018 року договору оренди між мною та Відповідачем скасовано не було;</w:t>
      </w:r>
    </w:p>
    <w:p w:rsidR="002175AE" w:rsidRDefault="002175AE" w:rsidP="002175AE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>Після отримання земельної ділянки Відповідачем по акту приймання-передачі, Відповідач не передавав цієї земельної ділянки іншій особі за актом приймання-передачі;</w:t>
      </w:r>
    </w:p>
    <w:p w:rsidR="00005964" w:rsidRDefault="00005964" w:rsidP="002175AE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 xml:space="preserve">Третя особа (С(Ф)Г) </w:t>
      </w:r>
      <w:r w:rsidR="004B13D4">
        <w:rPr>
          <w:b/>
          <w:color w:val="1C1C1C"/>
          <w:sz w:val="28"/>
          <w:szCs w:val="28"/>
          <w:lang w:val="uk-UA"/>
        </w:rPr>
        <w:t>ОСОБА 3</w:t>
      </w:r>
      <w:r>
        <w:rPr>
          <w:b/>
          <w:color w:val="1C1C1C"/>
          <w:sz w:val="28"/>
          <w:szCs w:val="28"/>
          <w:lang w:val="uk-UA"/>
        </w:rPr>
        <w:t xml:space="preserve"> також стверджує, що спірну земельну ділянку не отримувала в користування;</w:t>
      </w:r>
    </w:p>
    <w:p w:rsidR="00005964" w:rsidRPr="002175AE" w:rsidRDefault="00005964" w:rsidP="00005964">
      <w:pPr>
        <w:pStyle w:val="a5"/>
        <w:numPr>
          <w:ilvl w:val="0"/>
          <w:numId w:val="38"/>
        </w:numPr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1C1C1C"/>
          <w:sz w:val="28"/>
          <w:szCs w:val="28"/>
          <w:lang w:val="uk-UA"/>
        </w:rPr>
        <w:t xml:space="preserve">Договір оренди між мною та Відповідачем було скасовано тільки на підставі рішення апеляційного суду </w:t>
      </w:r>
      <w:r w:rsidRPr="00062110">
        <w:rPr>
          <w:b/>
          <w:sz w:val="28"/>
          <w:szCs w:val="28"/>
          <w:lang w:val="uk-UA"/>
        </w:rPr>
        <w:t>14.06.2018</w:t>
      </w:r>
      <w:r>
        <w:rPr>
          <w:b/>
          <w:sz w:val="28"/>
          <w:szCs w:val="28"/>
          <w:lang w:val="uk-UA"/>
        </w:rPr>
        <w:t xml:space="preserve"> року.</w:t>
      </w:r>
    </w:p>
    <w:p w:rsidR="002175AE" w:rsidRPr="002175AE" w:rsidRDefault="002175AE" w:rsidP="00005964">
      <w:pPr>
        <w:pStyle w:val="a5"/>
        <w:spacing w:before="0" w:beforeAutospacing="0" w:after="0" w:afterAutospacing="0"/>
        <w:ind w:left="1440"/>
        <w:jc w:val="both"/>
        <w:rPr>
          <w:b/>
          <w:color w:val="1C1C1C"/>
          <w:sz w:val="28"/>
          <w:szCs w:val="28"/>
          <w:lang w:val="uk-UA"/>
        </w:rPr>
      </w:pPr>
    </w:p>
    <w:p w:rsidR="002175AE" w:rsidRDefault="002175AE" w:rsidP="00D539F1">
      <w:pPr>
        <w:pStyle w:val="a5"/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</w:p>
    <w:p w:rsidR="002175AE" w:rsidRDefault="002175AE" w:rsidP="00D539F1">
      <w:pPr>
        <w:pStyle w:val="a5"/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</w:p>
    <w:p w:rsidR="00D539F1" w:rsidRDefault="00D539F1" w:rsidP="00D539F1">
      <w:pPr>
        <w:pStyle w:val="a5"/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 w:rsidRPr="006A78E7">
        <w:rPr>
          <w:b/>
          <w:color w:val="1C1C1C"/>
          <w:sz w:val="28"/>
          <w:szCs w:val="28"/>
          <w:lang w:val="uk-UA"/>
        </w:rPr>
        <w:t xml:space="preserve">В свою чергу </w:t>
      </w:r>
      <w:r w:rsidR="00FD63ED">
        <w:rPr>
          <w:b/>
          <w:color w:val="1C1C1C"/>
          <w:sz w:val="28"/>
          <w:szCs w:val="28"/>
          <w:lang w:val="uk-UA"/>
        </w:rPr>
        <w:t>Судом було вірно застосовано норми матеріального та процесуального права</w:t>
      </w:r>
      <w:r w:rsidR="00005964">
        <w:rPr>
          <w:b/>
          <w:color w:val="1C1C1C"/>
          <w:sz w:val="28"/>
          <w:szCs w:val="28"/>
          <w:lang w:val="uk-UA"/>
        </w:rPr>
        <w:t>.</w:t>
      </w:r>
    </w:p>
    <w:p w:rsidR="00FD63ED" w:rsidRDefault="00FD63ED" w:rsidP="00D539F1">
      <w:pPr>
        <w:pStyle w:val="a5"/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</w:p>
    <w:p w:rsidR="00FD63ED" w:rsidRDefault="00FD63ED" w:rsidP="00FD63ED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D63ED" w:rsidRPr="00FD63ED" w:rsidRDefault="00005964" w:rsidP="00FD63ED">
      <w:pPr>
        <w:pStyle w:val="a5"/>
        <w:spacing w:before="0" w:beforeAutospacing="0" w:after="0" w:afterAutospacing="0"/>
        <w:jc w:val="both"/>
        <w:rPr>
          <w:b/>
          <w:color w:val="1C1C1C"/>
          <w:sz w:val="28"/>
          <w:szCs w:val="28"/>
          <w:lang w:val="uk-UA"/>
        </w:rPr>
      </w:pPr>
      <w:r>
        <w:rPr>
          <w:b/>
          <w:color w:val="000000"/>
          <w:sz w:val="27"/>
          <w:szCs w:val="27"/>
          <w:lang w:val="uk-UA"/>
        </w:rPr>
        <w:t>Позиція та доводи Відповідача</w:t>
      </w:r>
      <w:r w:rsidR="00FD63ED" w:rsidRPr="00FD63ED">
        <w:rPr>
          <w:b/>
          <w:color w:val="000000"/>
          <w:sz w:val="27"/>
          <w:szCs w:val="27"/>
          <w:lang w:val="uk-UA"/>
        </w:rPr>
        <w:t xml:space="preserve"> побудовані на припущеннях та не відповідают</w:t>
      </w:r>
      <w:r>
        <w:rPr>
          <w:b/>
          <w:color w:val="000000"/>
          <w:sz w:val="27"/>
          <w:szCs w:val="27"/>
          <w:lang w:val="uk-UA"/>
        </w:rPr>
        <w:t>ь діючому Законодавству України.</w:t>
      </w:r>
    </w:p>
    <w:p w:rsidR="00D539F1" w:rsidRPr="00FD63ED" w:rsidRDefault="00D539F1" w:rsidP="00D539F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964" w:rsidRDefault="00730A19" w:rsidP="000059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30A19">
        <w:rPr>
          <w:sz w:val="28"/>
          <w:szCs w:val="28"/>
          <w:lang w:val="uk-UA"/>
        </w:rPr>
        <w:t xml:space="preserve">Дійсно, </w:t>
      </w:r>
      <w:r w:rsidR="00005964">
        <w:rPr>
          <w:sz w:val="28"/>
          <w:szCs w:val="28"/>
          <w:lang w:val="uk-UA"/>
        </w:rPr>
        <w:t>в судовому процесі було доведено:</w:t>
      </w:r>
    </w:p>
    <w:p w:rsidR="00005964" w:rsidRDefault="00005964" w:rsidP="00005964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 укладення договору оренди землі між сторонами;</w:t>
      </w:r>
    </w:p>
    <w:p w:rsidR="00005964" w:rsidRDefault="00005964" w:rsidP="00005964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 користування Відповідачем спірною земельною ділянкою відповідно до договору та сплату податків за оренду спірної земельної ділянки;</w:t>
      </w:r>
    </w:p>
    <w:p w:rsidR="00005964" w:rsidRDefault="00005964" w:rsidP="00005964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орендної плати за спірний період.</w:t>
      </w:r>
    </w:p>
    <w:p w:rsidR="00005964" w:rsidRDefault="00005964" w:rsidP="00005964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964" w:rsidRDefault="00005964" w:rsidP="000059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Відповідач в свою чергу не заперечував, що уклав договір оренди та отримав спірну земельну ділянку за актом приймання-передачі, проте не довів в судовому процесі той факт, що він повернув земельну ділянку та перестав нею користуватись або розірвав договір оренди.</w:t>
      </w:r>
    </w:p>
    <w:p w:rsidR="00005964" w:rsidRDefault="00005964" w:rsidP="000059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оренди було розірвано тільки </w:t>
      </w:r>
      <w:r w:rsidRPr="00062110">
        <w:rPr>
          <w:b/>
          <w:sz w:val="28"/>
          <w:szCs w:val="28"/>
          <w:lang w:val="uk-UA"/>
        </w:rPr>
        <w:t>14.06.2018</w:t>
      </w:r>
      <w:r>
        <w:rPr>
          <w:b/>
          <w:sz w:val="28"/>
          <w:szCs w:val="28"/>
          <w:lang w:val="uk-UA"/>
        </w:rPr>
        <w:t xml:space="preserve"> року.</w:t>
      </w:r>
    </w:p>
    <w:p w:rsidR="00005964" w:rsidRDefault="00005964" w:rsidP="0000596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730A19" w:rsidRPr="00005964" w:rsidRDefault="00730A19" w:rsidP="000059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05964">
        <w:rPr>
          <w:color w:val="000000"/>
          <w:sz w:val="27"/>
          <w:szCs w:val="27"/>
          <w:lang w:val="uk-UA"/>
        </w:rPr>
        <w:t>З</w:t>
      </w:r>
      <w:r w:rsidRPr="00005964">
        <w:rPr>
          <w:color w:val="000000"/>
          <w:sz w:val="27"/>
          <w:szCs w:val="27"/>
        </w:rPr>
        <w:t>гідно зі статтями </w:t>
      </w:r>
      <w:hyperlink r:id="rId6" w:anchor="7922" w:tgtFrame="_blank" w:tooltip="Цивільний процесуальний кодекс України (ред. з 15.12.2017); нормативно-правовий акт № 1618-IV від 18.03.2004" w:history="1">
        <w:r w:rsidRPr="00005964">
          <w:rPr>
            <w:rStyle w:val="a6"/>
            <w:sz w:val="27"/>
            <w:szCs w:val="27"/>
          </w:rPr>
          <w:t>76</w:t>
        </w:r>
      </w:hyperlink>
      <w:r w:rsidRPr="00005964">
        <w:rPr>
          <w:color w:val="000000"/>
          <w:sz w:val="27"/>
          <w:szCs w:val="27"/>
        </w:rPr>
        <w:t>, </w:t>
      </w:r>
      <w:hyperlink r:id="rId7" w:anchor="7928" w:tgtFrame="_blank" w:tooltip="Цивільний процесуальний кодекс України (ред. з 15.12.2017); нормативно-правовий акт № 1618-IV від 18.03.2004" w:history="1">
        <w:r w:rsidRPr="00005964">
          <w:rPr>
            <w:rStyle w:val="a6"/>
            <w:sz w:val="27"/>
            <w:szCs w:val="27"/>
          </w:rPr>
          <w:t>77</w:t>
        </w:r>
      </w:hyperlink>
      <w:r w:rsidRPr="00005964">
        <w:rPr>
          <w:color w:val="000000"/>
          <w:sz w:val="27"/>
          <w:szCs w:val="27"/>
        </w:rPr>
        <w:t>, </w:t>
      </w:r>
      <w:hyperlink r:id="rId8" w:anchor="7936" w:tgtFrame="_blank" w:tooltip="Цивільний процесуальний кодекс України (ред. з 15.12.2017); нормативно-правовий акт № 1618-IV від 18.03.2004" w:history="1">
        <w:r w:rsidRPr="00005964">
          <w:rPr>
            <w:rStyle w:val="a6"/>
            <w:sz w:val="27"/>
            <w:szCs w:val="27"/>
          </w:rPr>
          <w:t>79</w:t>
        </w:r>
      </w:hyperlink>
      <w:r w:rsidRPr="00005964">
        <w:rPr>
          <w:color w:val="000000"/>
          <w:sz w:val="27"/>
          <w:szCs w:val="27"/>
        </w:rPr>
        <w:t>, </w:t>
      </w:r>
      <w:hyperlink r:id="rId9" w:anchor="7938" w:tgtFrame="_blank" w:tooltip="Цивільний процесуальний кодекс України (ред. з 15.12.2017); нормативно-правовий акт № 1618-IV від 18.03.2004" w:history="1">
        <w:r w:rsidRPr="00005964">
          <w:rPr>
            <w:rStyle w:val="a6"/>
            <w:sz w:val="27"/>
            <w:szCs w:val="27"/>
          </w:rPr>
          <w:t>80</w:t>
        </w:r>
      </w:hyperlink>
      <w:r w:rsidRPr="00005964">
        <w:rPr>
          <w:color w:val="000000"/>
          <w:sz w:val="27"/>
          <w:szCs w:val="27"/>
        </w:rPr>
        <w:t>, </w:t>
      </w:r>
      <w:hyperlink r:id="rId10" w:anchor="7941" w:tgtFrame="_blank" w:tooltip="Цивільний процесуальний кодекс України (ред. з 15.12.2017); нормативно-правовий акт № 1618-IV від 18.03.2004" w:history="1">
        <w:r w:rsidRPr="00005964">
          <w:rPr>
            <w:rStyle w:val="a6"/>
            <w:sz w:val="27"/>
            <w:szCs w:val="27"/>
          </w:rPr>
          <w:t>81  ЦПК України</w:t>
        </w:r>
      </w:hyperlink>
      <w:r w:rsidRPr="00005964">
        <w:rPr>
          <w:color w:val="000000"/>
          <w:sz w:val="27"/>
          <w:szCs w:val="27"/>
        </w:rPr>
        <w:t xml:space="preserve"> кожна сторона повинна довести ті обставини, на які вона посилається як на підставу своїх вимог або заперечень, крім випадків, встановлених цим Кодексом. Доказами є будь-які дані, на підставі яких суд встановлює наявність або відсутність обставин (фактів), що обґрунтовують вимоги і заперечення учасників справи, та інших обставин, які мають значення для вирішення справи. Належними є докази, які містять інформацію щодо предмета доказування. Достовірними є докази, на підставі яких </w:t>
      </w:r>
      <w:r w:rsidRPr="00005964">
        <w:rPr>
          <w:color w:val="000000"/>
          <w:sz w:val="27"/>
          <w:szCs w:val="27"/>
        </w:rPr>
        <w:lastRenderedPageBreak/>
        <w:t>можна встановити дійсні обставини справи. Достатніми є докази, які у своїй сукупності дають змогу дійти висновку про наявність або відсутність обставин справи, які входять до предмета доказування.</w:t>
      </w:r>
    </w:p>
    <w:p w:rsidR="00D30170" w:rsidRPr="007534D5" w:rsidRDefault="00D30170" w:rsidP="00D30170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0170" w:rsidRPr="007534D5" w:rsidRDefault="00D30170" w:rsidP="00D3017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170" w:rsidRPr="007534D5" w:rsidRDefault="00D30170" w:rsidP="00D301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4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 вищевикладеного, керуючись ст.ст. </w:t>
      </w:r>
      <w:r w:rsidRPr="007534D5">
        <w:rPr>
          <w:rFonts w:ascii="Times New Roman" w:hAnsi="Times New Roman" w:cs="Times New Roman"/>
          <w:sz w:val="28"/>
          <w:szCs w:val="28"/>
          <w:lang w:val="uk-UA"/>
        </w:rPr>
        <w:t xml:space="preserve">4, 5, 43, 49, 178 </w:t>
      </w:r>
      <w:r w:rsidRPr="007534D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ЦПК України,</w:t>
      </w:r>
    </w:p>
    <w:p w:rsidR="00D30170" w:rsidRPr="007534D5" w:rsidRDefault="00D30170" w:rsidP="00D301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4D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534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ПРОШУ:</w:t>
      </w:r>
    </w:p>
    <w:p w:rsidR="00D30170" w:rsidRPr="007534D5" w:rsidRDefault="00D30170" w:rsidP="00D30170">
      <w:pPr>
        <w:pStyle w:val="a7"/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4D5">
        <w:rPr>
          <w:rFonts w:ascii="Times New Roman" w:hAnsi="Times New Roman" w:cs="Times New Roman"/>
          <w:sz w:val="28"/>
          <w:szCs w:val="28"/>
          <w:lang w:val="uk-UA"/>
        </w:rPr>
        <w:t>Поновити строки подачі відзиву;</w:t>
      </w:r>
    </w:p>
    <w:p w:rsidR="00D30170" w:rsidRPr="007534D5" w:rsidRDefault="00D30170" w:rsidP="00D30170">
      <w:pPr>
        <w:pStyle w:val="a7"/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4D5">
        <w:rPr>
          <w:rFonts w:ascii="Times New Roman" w:hAnsi="Times New Roman" w:cs="Times New Roman"/>
          <w:sz w:val="28"/>
          <w:szCs w:val="28"/>
          <w:lang w:val="uk-UA"/>
        </w:rPr>
        <w:t xml:space="preserve">Прийняти відзив на </w:t>
      </w:r>
      <w:r w:rsidR="006F1739">
        <w:rPr>
          <w:rFonts w:ascii="Times New Roman" w:hAnsi="Times New Roman" w:cs="Times New Roman"/>
          <w:sz w:val="28"/>
          <w:szCs w:val="28"/>
          <w:lang w:val="uk-UA"/>
        </w:rPr>
        <w:t>апеляційну скаргу</w:t>
      </w:r>
      <w:r w:rsidRPr="007534D5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 справи;</w:t>
      </w:r>
    </w:p>
    <w:p w:rsidR="00D30170" w:rsidRPr="007534D5" w:rsidRDefault="00D30170" w:rsidP="00D30170">
      <w:pPr>
        <w:pStyle w:val="a7"/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4D5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FF40A1">
        <w:rPr>
          <w:rFonts w:ascii="Times New Roman" w:hAnsi="Times New Roman" w:cs="Times New Roman"/>
          <w:sz w:val="28"/>
          <w:szCs w:val="28"/>
          <w:lang w:val="uk-UA"/>
        </w:rPr>
        <w:t>Відповідачу</w:t>
      </w:r>
      <w:r w:rsidRPr="007534D5">
        <w:rPr>
          <w:rFonts w:ascii="Times New Roman" w:hAnsi="Times New Roman" w:cs="Times New Roman"/>
          <w:sz w:val="28"/>
          <w:szCs w:val="28"/>
          <w:lang w:val="uk-UA"/>
        </w:rPr>
        <w:t xml:space="preserve"> у задоволенні </w:t>
      </w:r>
      <w:r w:rsidR="006F1739">
        <w:rPr>
          <w:rFonts w:ascii="Times New Roman" w:hAnsi="Times New Roman" w:cs="Times New Roman"/>
          <w:sz w:val="28"/>
          <w:szCs w:val="28"/>
          <w:lang w:val="uk-UA"/>
        </w:rPr>
        <w:t>апеляційної скарги</w:t>
      </w:r>
      <w:r w:rsidRPr="007534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0170" w:rsidRPr="007534D5" w:rsidRDefault="00D30170" w:rsidP="00D301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18D5" w:rsidRPr="00FF40A1" w:rsidRDefault="00990977" w:rsidP="00FF40A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Додаток: </w:t>
      </w:r>
    </w:p>
    <w:p w:rsidR="002F18D5" w:rsidRPr="006F1739" w:rsidRDefault="002F18D5" w:rsidP="002F18D5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1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Поштові квитанції пр</w:t>
      </w:r>
      <w:r w:rsidR="006F1739" w:rsidRPr="006F1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направлення відзиву Позивачу.</w:t>
      </w:r>
    </w:p>
    <w:p w:rsidR="00990977" w:rsidRPr="00990977" w:rsidRDefault="00990977" w:rsidP="0099097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75B4" w:rsidRPr="001B3A0B" w:rsidRDefault="004B13D4" w:rsidP="00FF40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__________2021</w:t>
      </w:r>
      <w:bookmarkStart w:id="0" w:name="_GoBack"/>
      <w:bookmarkEnd w:id="0"/>
      <w:r w:rsidR="00D30170" w:rsidRPr="007534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                                           ______________ </w:t>
      </w:r>
    </w:p>
    <w:sectPr w:rsidR="00CF75B4" w:rsidRPr="001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8DE6143"/>
    <w:multiLevelType w:val="hybridMultilevel"/>
    <w:tmpl w:val="3332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45A"/>
    <w:multiLevelType w:val="hybridMultilevel"/>
    <w:tmpl w:val="6056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71B"/>
    <w:multiLevelType w:val="hybridMultilevel"/>
    <w:tmpl w:val="2FF8C7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94CAC"/>
    <w:multiLevelType w:val="hybridMultilevel"/>
    <w:tmpl w:val="FF1A2A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1086C"/>
    <w:multiLevelType w:val="hybridMultilevel"/>
    <w:tmpl w:val="78ACB9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F9579B"/>
    <w:multiLevelType w:val="hybridMultilevel"/>
    <w:tmpl w:val="1E16A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25B8A"/>
    <w:multiLevelType w:val="hybridMultilevel"/>
    <w:tmpl w:val="000C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F06E7"/>
    <w:multiLevelType w:val="hybridMultilevel"/>
    <w:tmpl w:val="F50E9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F3C51"/>
    <w:multiLevelType w:val="hybridMultilevel"/>
    <w:tmpl w:val="2AA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289B"/>
    <w:multiLevelType w:val="hybridMultilevel"/>
    <w:tmpl w:val="A0E61A7E"/>
    <w:lvl w:ilvl="0" w:tplc="2EE2FA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48A5"/>
    <w:multiLevelType w:val="hybridMultilevel"/>
    <w:tmpl w:val="7E8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676B8"/>
    <w:multiLevelType w:val="hybridMultilevel"/>
    <w:tmpl w:val="9852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F32D0"/>
    <w:multiLevelType w:val="hybridMultilevel"/>
    <w:tmpl w:val="0CD22424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2E262561"/>
    <w:multiLevelType w:val="hybridMultilevel"/>
    <w:tmpl w:val="1CDA5C0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2F300911"/>
    <w:multiLevelType w:val="hybridMultilevel"/>
    <w:tmpl w:val="00C0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F30"/>
    <w:multiLevelType w:val="hybridMultilevel"/>
    <w:tmpl w:val="EAB02762"/>
    <w:lvl w:ilvl="0" w:tplc="A1A8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8D016D"/>
    <w:multiLevelType w:val="hybridMultilevel"/>
    <w:tmpl w:val="BA2E0E98"/>
    <w:lvl w:ilvl="0" w:tplc="2EE2FA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50273"/>
    <w:multiLevelType w:val="hybridMultilevel"/>
    <w:tmpl w:val="28EAEC28"/>
    <w:lvl w:ilvl="0" w:tplc="2EE2FA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B0641"/>
    <w:multiLevelType w:val="hybridMultilevel"/>
    <w:tmpl w:val="407C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B6508"/>
    <w:multiLevelType w:val="hybridMultilevel"/>
    <w:tmpl w:val="84F88076"/>
    <w:lvl w:ilvl="0" w:tplc="2EE2F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24A11"/>
    <w:multiLevelType w:val="hybridMultilevel"/>
    <w:tmpl w:val="3018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6D0D"/>
    <w:multiLevelType w:val="hybridMultilevel"/>
    <w:tmpl w:val="B8D8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20900"/>
    <w:multiLevelType w:val="hybridMultilevel"/>
    <w:tmpl w:val="F48893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267630"/>
    <w:multiLevelType w:val="hybridMultilevel"/>
    <w:tmpl w:val="3018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1854"/>
    <w:multiLevelType w:val="hybridMultilevel"/>
    <w:tmpl w:val="F5F4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744"/>
    <w:multiLevelType w:val="hybridMultilevel"/>
    <w:tmpl w:val="359A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0F6"/>
    <w:multiLevelType w:val="hybridMultilevel"/>
    <w:tmpl w:val="2B803F30"/>
    <w:lvl w:ilvl="0" w:tplc="A1A8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491F52"/>
    <w:multiLevelType w:val="hybridMultilevel"/>
    <w:tmpl w:val="786A0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326E31"/>
    <w:multiLevelType w:val="hybridMultilevel"/>
    <w:tmpl w:val="2EF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5FCB"/>
    <w:multiLevelType w:val="hybridMultilevel"/>
    <w:tmpl w:val="671CFCD4"/>
    <w:lvl w:ilvl="0" w:tplc="2EE2FA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2765AD"/>
    <w:multiLevelType w:val="hybridMultilevel"/>
    <w:tmpl w:val="EF4A95D6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71294B"/>
    <w:multiLevelType w:val="hybridMultilevel"/>
    <w:tmpl w:val="7398F64E"/>
    <w:lvl w:ilvl="0" w:tplc="A1A8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D03B5C"/>
    <w:multiLevelType w:val="hybridMultilevel"/>
    <w:tmpl w:val="DCA8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E41E1"/>
    <w:multiLevelType w:val="hybridMultilevel"/>
    <w:tmpl w:val="2C92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3E0"/>
    <w:multiLevelType w:val="hybridMultilevel"/>
    <w:tmpl w:val="504040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5AA4F8C"/>
    <w:multiLevelType w:val="hybridMultilevel"/>
    <w:tmpl w:val="B91AD268"/>
    <w:lvl w:ilvl="0" w:tplc="A1A8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800449"/>
    <w:multiLevelType w:val="hybridMultilevel"/>
    <w:tmpl w:val="82A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4C32"/>
    <w:multiLevelType w:val="hybridMultilevel"/>
    <w:tmpl w:val="9A96E3A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3"/>
  </w:num>
  <w:num w:numId="10">
    <w:abstractNumId w:val="14"/>
  </w:num>
  <w:num w:numId="11">
    <w:abstractNumId w:val="0"/>
  </w:num>
  <w:num w:numId="12">
    <w:abstractNumId w:val="26"/>
  </w:num>
  <w:num w:numId="13">
    <w:abstractNumId w:val="38"/>
  </w:num>
  <w:num w:numId="14">
    <w:abstractNumId w:val="11"/>
  </w:num>
  <w:num w:numId="15">
    <w:abstractNumId w:val="12"/>
  </w:num>
  <w:num w:numId="16">
    <w:abstractNumId w:val="10"/>
  </w:num>
  <w:num w:numId="17">
    <w:abstractNumId w:val="32"/>
  </w:num>
  <w:num w:numId="18">
    <w:abstractNumId w:val="17"/>
  </w:num>
  <w:num w:numId="19">
    <w:abstractNumId w:val="37"/>
  </w:num>
  <w:num w:numId="20">
    <w:abstractNumId w:val="30"/>
  </w:num>
  <w:num w:numId="21">
    <w:abstractNumId w:val="35"/>
  </w:num>
  <w:num w:numId="22">
    <w:abstractNumId w:val="28"/>
  </w:num>
  <w:num w:numId="23">
    <w:abstractNumId w:val="7"/>
  </w:num>
  <w:num w:numId="24">
    <w:abstractNumId w:val="29"/>
  </w:num>
  <w:num w:numId="25">
    <w:abstractNumId w:val="2"/>
  </w:num>
  <w:num w:numId="26">
    <w:abstractNumId w:val="16"/>
  </w:num>
  <w:num w:numId="27">
    <w:abstractNumId w:val="27"/>
  </w:num>
  <w:num w:numId="28">
    <w:abstractNumId w:val="19"/>
  </w:num>
  <w:num w:numId="29">
    <w:abstractNumId w:val="36"/>
  </w:num>
  <w:num w:numId="30">
    <w:abstractNumId w:val="13"/>
  </w:num>
  <w:num w:numId="31">
    <w:abstractNumId w:val="22"/>
  </w:num>
  <w:num w:numId="32">
    <w:abstractNumId w:val="15"/>
  </w:num>
  <w:num w:numId="33">
    <w:abstractNumId w:val="6"/>
  </w:num>
  <w:num w:numId="34">
    <w:abstractNumId w:val="33"/>
  </w:num>
  <w:num w:numId="35">
    <w:abstractNumId w:val="34"/>
  </w:num>
  <w:num w:numId="36">
    <w:abstractNumId w:val="31"/>
  </w:num>
  <w:num w:numId="37">
    <w:abstractNumId w:val="4"/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2"/>
    <w:rsid w:val="00005964"/>
    <w:rsid w:val="00021776"/>
    <w:rsid w:val="000346AD"/>
    <w:rsid w:val="00043A24"/>
    <w:rsid w:val="0005171E"/>
    <w:rsid w:val="00062110"/>
    <w:rsid w:val="00080EB6"/>
    <w:rsid w:val="00083A9D"/>
    <w:rsid w:val="000855BD"/>
    <w:rsid w:val="0009440A"/>
    <w:rsid w:val="000A6037"/>
    <w:rsid w:val="000C2726"/>
    <w:rsid w:val="000D235E"/>
    <w:rsid w:val="000E0570"/>
    <w:rsid w:val="000F2899"/>
    <w:rsid w:val="00101656"/>
    <w:rsid w:val="00102C19"/>
    <w:rsid w:val="00132BC5"/>
    <w:rsid w:val="00134253"/>
    <w:rsid w:val="00167451"/>
    <w:rsid w:val="00187AB5"/>
    <w:rsid w:val="00191A90"/>
    <w:rsid w:val="001964E0"/>
    <w:rsid w:val="001B3A0B"/>
    <w:rsid w:val="001B7E11"/>
    <w:rsid w:val="001B7E77"/>
    <w:rsid w:val="001C27F3"/>
    <w:rsid w:val="001F56D8"/>
    <w:rsid w:val="002175AE"/>
    <w:rsid w:val="00230434"/>
    <w:rsid w:val="00261A82"/>
    <w:rsid w:val="002677A3"/>
    <w:rsid w:val="00272FA7"/>
    <w:rsid w:val="00295A0A"/>
    <w:rsid w:val="002A04E8"/>
    <w:rsid w:val="002A2C47"/>
    <w:rsid w:val="002B70C8"/>
    <w:rsid w:val="002C45CE"/>
    <w:rsid w:val="002D5E0C"/>
    <w:rsid w:val="002E21DE"/>
    <w:rsid w:val="002E7B4C"/>
    <w:rsid w:val="002F18D5"/>
    <w:rsid w:val="00311E7F"/>
    <w:rsid w:val="00315B82"/>
    <w:rsid w:val="00321ED0"/>
    <w:rsid w:val="00322012"/>
    <w:rsid w:val="0033655E"/>
    <w:rsid w:val="0037557B"/>
    <w:rsid w:val="00386FC1"/>
    <w:rsid w:val="003E41C9"/>
    <w:rsid w:val="003E5052"/>
    <w:rsid w:val="003E7439"/>
    <w:rsid w:val="003F63E2"/>
    <w:rsid w:val="003F70D5"/>
    <w:rsid w:val="00407EDC"/>
    <w:rsid w:val="004100F0"/>
    <w:rsid w:val="004247AF"/>
    <w:rsid w:val="00447187"/>
    <w:rsid w:val="004507DB"/>
    <w:rsid w:val="00457BB8"/>
    <w:rsid w:val="00474B99"/>
    <w:rsid w:val="004759A7"/>
    <w:rsid w:val="00484E46"/>
    <w:rsid w:val="004B13D4"/>
    <w:rsid w:val="004C2A27"/>
    <w:rsid w:val="00520BC2"/>
    <w:rsid w:val="00531E79"/>
    <w:rsid w:val="00533E0B"/>
    <w:rsid w:val="00536624"/>
    <w:rsid w:val="005376E3"/>
    <w:rsid w:val="0053772A"/>
    <w:rsid w:val="00550693"/>
    <w:rsid w:val="0055492E"/>
    <w:rsid w:val="00555C50"/>
    <w:rsid w:val="00563813"/>
    <w:rsid w:val="005674A9"/>
    <w:rsid w:val="00591D2B"/>
    <w:rsid w:val="005A309E"/>
    <w:rsid w:val="00605ADD"/>
    <w:rsid w:val="00626F49"/>
    <w:rsid w:val="0064033B"/>
    <w:rsid w:val="006454AB"/>
    <w:rsid w:val="00661F5D"/>
    <w:rsid w:val="006A1B7E"/>
    <w:rsid w:val="006A78E7"/>
    <w:rsid w:val="006E0CF1"/>
    <w:rsid w:val="006F1739"/>
    <w:rsid w:val="00702332"/>
    <w:rsid w:val="00730A19"/>
    <w:rsid w:val="00741EC4"/>
    <w:rsid w:val="00745698"/>
    <w:rsid w:val="0076096B"/>
    <w:rsid w:val="00767790"/>
    <w:rsid w:val="007A283C"/>
    <w:rsid w:val="007C182B"/>
    <w:rsid w:val="007D0F6A"/>
    <w:rsid w:val="007F0D7D"/>
    <w:rsid w:val="0081506B"/>
    <w:rsid w:val="008262A4"/>
    <w:rsid w:val="008460E5"/>
    <w:rsid w:val="00850492"/>
    <w:rsid w:val="00884E69"/>
    <w:rsid w:val="008B461E"/>
    <w:rsid w:val="008C65D8"/>
    <w:rsid w:val="008D2027"/>
    <w:rsid w:val="008E6DA0"/>
    <w:rsid w:val="008F7F0E"/>
    <w:rsid w:val="00905B74"/>
    <w:rsid w:val="009376BD"/>
    <w:rsid w:val="00944C4B"/>
    <w:rsid w:val="00954ED5"/>
    <w:rsid w:val="0096124F"/>
    <w:rsid w:val="00990977"/>
    <w:rsid w:val="009A670A"/>
    <w:rsid w:val="009B41F2"/>
    <w:rsid w:val="009C024C"/>
    <w:rsid w:val="009C2074"/>
    <w:rsid w:val="009C59BD"/>
    <w:rsid w:val="009D6683"/>
    <w:rsid w:val="009D7D3D"/>
    <w:rsid w:val="00A33A38"/>
    <w:rsid w:val="00A36009"/>
    <w:rsid w:val="00A44F5B"/>
    <w:rsid w:val="00A527D9"/>
    <w:rsid w:val="00A54825"/>
    <w:rsid w:val="00A62DBB"/>
    <w:rsid w:val="00A83F3D"/>
    <w:rsid w:val="00A95651"/>
    <w:rsid w:val="00A96427"/>
    <w:rsid w:val="00AA674F"/>
    <w:rsid w:val="00AC42F5"/>
    <w:rsid w:val="00AD7B77"/>
    <w:rsid w:val="00B45620"/>
    <w:rsid w:val="00B46DE2"/>
    <w:rsid w:val="00B62430"/>
    <w:rsid w:val="00B73A08"/>
    <w:rsid w:val="00B75AC6"/>
    <w:rsid w:val="00B77F81"/>
    <w:rsid w:val="00BB3972"/>
    <w:rsid w:val="00BB7CD6"/>
    <w:rsid w:val="00BC18F0"/>
    <w:rsid w:val="00BD63B2"/>
    <w:rsid w:val="00BF3729"/>
    <w:rsid w:val="00BF3B76"/>
    <w:rsid w:val="00C003DD"/>
    <w:rsid w:val="00C035C9"/>
    <w:rsid w:val="00C0618D"/>
    <w:rsid w:val="00C25CA5"/>
    <w:rsid w:val="00C30D2D"/>
    <w:rsid w:val="00C37D33"/>
    <w:rsid w:val="00C67D85"/>
    <w:rsid w:val="00C9200A"/>
    <w:rsid w:val="00CA4662"/>
    <w:rsid w:val="00CD751B"/>
    <w:rsid w:val="00CF75B4"/>
    <w:rsid w:val="00D011C2"/>
    <w:rsid w:val="00D120DD"/>
    <w:rsid w:val="00D30170"/>
    <w:rsid w:val="00D30C5F"/>
    <w:rsid w:val="00D539F1"/>
    <w:rsid w:val="00D55CBE"/>
    <w:rsid w:val="00D61D14"/>
    <w:rsid w:val="00D64E4D"/>
    <w:rsid w:val="00D854AA"/>
    <w:rsid w:val="00DB45C0"/>
    <w:rsid w:val="00DC0113"/>
    <w:rsid w:val="00DC3573"/>
    <w:rsid w:val="00DF3433"/>
    <w:rsid w:val="00DF7F54"/>
    <w:rsid w:val="00E0417D"/>
    <w:rsid w:val="00E27E42"/>
    <w:rsid w:val="00E6220C"/>
    <w:rsid w:val="00E64BA2"/>
    <w:rsid w:val="00E8170D"/>
    <w:rsid w:val="00E864CE"/>
    <w:rsid w:val="00EB19A1"/>
    <w:rsid w:val="00EB5F43"/>
    <w:rsid w:val="00EC6DDF"/>
    <w:rsid w:val="00ED00A1"/>
    <w:rsid w:val="00ED2E72"/>
    <w:rsid w:val="00F361F3"/>
    <w:rsid w:val="00F44DE4"/>
    <w:rsid w:val="00F66C09"/>
    <w:rsid w:val="00F73544"/>
    <w:rsid w:val="00F87737"/>
    <w:rsid w:val="00F94C0A"/>
    <w:rsid w:val="00FA1520"/>
    <w:rsid w:val="00FA222E"/>
    <w:rsid w:val="00FB26D6"/>
    <w:rsid w:val="00FB416F"/>
    <w:rsid w:val="00FD48AC"/>
    <w:rsid w:val="00FD63ED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D05D"/>
  <w15:chartTrackingRefBased/>
  <w15:docId w15:val="{BC048384-11F5-4706-9A4B-4C9B722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70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0570"/>
    <w:pPr>
      <w:suppressAutoHyphens/>
      <w:spacing w:after="0" w:line="240" w:lineRule="auto"/>
    </w:pPr>
    <w:rPr>
      <w:color w:val="00000A"/>
    </w:rPr>
  </w:style>
  <w:style w:type="table" w:styleId="a4">
    <w:name w:val="Table Grid"/>
    <w:basedOn w:val="a1"/>
    <w:uiPriority w:val="39"/>
    <w:rsid w:val="000E057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34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433"/>
  </w:style>
  <w:style w:type="character" w:styleId="a6">
    <w:name w:val="Hyperlink"/>
    <w:basedOn w:val="a0"/>
    <w:uiPriority w:val="99"/>
    <w:unhideWhenUsed/>
    <w:rsid w:val="00DF34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7D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00A"/>
    <w:rPr>
      <w:rFonts w:ascii="Segoe UI" w:hAnsi="Segoe UI" w:cs="Segoe UI"/>
      <w:color w:val="00000A"/>
      <w:sz w:val="18"/>
      <w:szCs w:val="18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A670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val="uk-UA" w:eastAsia="ru-RU" w:bidi="hi-IN"/>
    </w:rPr>
  </w:style>
  <w:style w:type="character" w:styleId="aa">
    <w:name w:val="Strong"/>
    <w:basedOn w:val="a0"/>
    <w:uiPriority w:val="99"/>
    <w:qFormat/>
    <w:rsid w:val="00FB26D6"/>
    <w:rPr>
      <w:rFonts w:eastAsia="Times New Roman"/>
      <w:b/>
      <w:bCs/>
    </w:rPr>
  </w:style>
  <w:style w:type="character" w:customStyle="1" w:styleId="c2fbe4e5ebe5ede8e5">
    <w:name w:val="Вc2ыfbдe4еe5лebеe5нedиe8еe5"/>
    <w:basedOn w:val="a0"/>
    <w:uiPriority w:val="99"/>
    <w:rsid w:val="007A283C"/>
    <w:rPr>
      <w:rFonts w:eastAsia="Times New Roman"/>
      <w:i/>
      <w:iCs/>
    </w:rPr>
  </w:style>
  <w:style w:type="paragraph" w:customStyle="1" w:styleId="cef1edeee2edeee9f2e5eaf1f2">
    <w:name w:val="Оceсf1нedоeeвe2нedоeeйe9 тf2еe5кeaсf1тf2"/>
    <w:basedOn w:val="a"/>
    <w:uiPriority w:val="99"/>
    <w:rsid w:val="00884E69"/>
    <w:pPr>
      <w:widowControl w:val="0"/>
      <w:suppressAutoHyphens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val="uk-UA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936/ed_2020_05_13/pravo1/T04_1618.html?pravo=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an_7928/ed_2020_05_13/pravo1/T04_1618.html?pravo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an_7922/ed_2020_05_13/pravo1/T04_1618.html?prav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7941/ed_2020_05_13/pravo1/T04_1618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7938/ed_2020_05_13/pravo1/T04_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ACA2-AB60-482D-ABC8-F1D4FA36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2020-09-29T15:15:00Z</cp:lastPrinted>
  <dcterms:created xsi:type="dcterms:W3CDTF">2019-12-06T15:18:00Z</dcterms:created>
  <dcterms:modified xsi:type="dcterms:W3CDTF">2021-04-14T13:33:00Z</dcterms:modified>
</cp:coreProperties>
</file>